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069"/>
        <w:tblW w:w="10173" w:type="dxa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544"/>
      </w:tblGrid>
      <w:tr w:rsidR="005B0E5C" w:rsidRPr="005B0E5C" w:rsidTr="00205A02">
        <w:trPr>
          <w:trHeight w:val="1560"/>
        </w:trPr>
        <w:tc>
          <w:tcPr>
            <w:tcW w:w="2943" w:type="dxa"/>
            <w:shd w:val="clear" w:color="auto" w:fill="auto"/>
            <w:vAlign w:val="center"/>
          </w:tcPr>
          <w:p w:rsidR="005B0E5C" w:rsidRPr="005B0E5C" w:rsidRDefault="005B0E5C" w:rsidP="005B0E5C">
            <w:pPr>
              <w:ind w:left="-106"/>
              <w:jc w:val="center"/>
              <w:rPr>
                <w:rFonts w:ascii="Timok" w:eastAsia="Calibri" w:hAnsi="Timok"/>
                <w:szCs w:val="22"/>
                <w:lang w:val="en-US"/>
              </w:rPr>
            </w:pPr>
            <w:r w:rsidRPr="005B0E5C">
              <w:rPr>
                <w:rFonts w:ascii="Timok" w:eastAsia="Calibri" w:hAnsi="Timok"/>
                <w:noProof/>
                <w:szCs w:val="22"/>
              </w:rPr>
              <w:drawing>
                <wp:inline distT="0" distB="0" distL="0" distR="0">
                  <wp:extent cx="1733550" cy="6438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0E5C" w:rsidRPr="005B0E5C" w:rsidRDefault="005B0E5C" w:rsidP="005B0E5C">
            <w:pPr>
              <w:spacing w:line="360" w:lineRule="auto"/>
              <w:ind w:left="-113"/>
              <w:contextualSpacing/>
              <w:jc w:val="center"/>
              <w:rPr>
                <w:rFonts w:eastAsia="MS Minngs"/>
                <w:color w:val="491407"/>
                <w:sz w:val="16"/>
                <w:szCs w:val="16"/>
                <w:lang w:eastAsia="en-US"/>
              </w:rPr>
            </w:pPr>
            <w:r w:rsidRPr="005B0E5C">
              <w:rPr>
                <w:rFonts w:eastAsia="MS Minngs"/>
                <w:color w:val="491407"/>
                <w:sz w:val="16"/>
                <w:szCs w:val="16"/>
                <w:lang w:eastAsia="en-US"/>
              </w:rPr>
              <w:t>София 1618, бул. „Цар Борис III“ 136</w:t>
            </w:r>
          </w:p>
          <w:p w:rsidR="005B0E5C" w:rsidRPr="005B0E5C" w:rsidRDefault="005B0E5C" w:rsidP="005B0E5C">
            <w:pPr>
              <w:spacing w:line="360" w:lineRule="auto"/>
              <w:ind w:left="-113"/>
              <w:contextualSpacing/>
              <w:jc w:val="center"/>
              <w:rPr>
                <w:rFonts w:eastAsia="MS Minngs"/>
                <w:color w:val="491407"/>
                <w:sz w:val="16"/>
                <w:szCs w:val="16"/>
                <w:lang w:val="en-GB" w:eastAsia="en-US"/>
              </w:rPr>
            </w:pPr>
            <w:r w:rsidRPr="005B0E5C">
              <w:rPr>
                <w:rFonts w:eastAsia="MS Minngs"/>
                <w:color w:val="491407"/>
                <w:sz w:val="16"/>
                <w:szCs w:val="16"/>
                <w:lang w:eastAsia="en-US"/>
              </w:rPr>
              <w:t>тел.: 02/81-87-100, 02/81-87-</w:t>
            </w:r>
            <w:r w:rsidRPr="005B0E5C">
              <w:rPr>
                <w:rFonts w:eastAsia="MS Minngs"/>
                <w:color w:val="491407"/>
                <w:sz w:val="16"/>
                <w:szCs w:val="16"/>
                <w:lang w:val="en-GB" w:eastAsia="en-US"/>
              </w:rPr>
              <w:t>536</w:t>
            </w:r>
          </w:p>
          <w:p w:rsidR="005B0E5C" w:rsidRPr="005B0E5C" w:rsidRDefault="005B0E5C" w:rsidP="005B0E5C">
            <w:pPr>
              <w:spacing w:line="360" w:lineRule="auto"/>
              <w:ind w:left="-113"/>
              <w:contextualSpacing/>
              <w:jc w:val="center"/>
              <w:rPr>
                <w:rFonts w:eastAsia="MS Minngs"/>
                <w:lang w:val="en-US" w:eastAsia="en-US"/>
              </w:rPr>
            </w:pPr>
            <w:r w:rsidRPr="005B0E5C">
              <w:rPr>
                <w:rFonts w:eastAsia="MS Minngs"/>
                <w:color w:val="491407"/>
                <w:sz w:val="16"/>
                <w:szCs w:val="16"/>
                <w:lang w:eastAsia="en-US"/>
              </w:rPr>
              <w:t>факс: 02/81-87-</w:t>
            </w:r>
            <w:r w:rsidRPr="005B0E5C">
              <w:rPr>
                <w:rFonts w:eastAsia="MS Minngs"/>
                <w:color w:val="491407"/>
                <w:sz w:val="16"/>
                <w:szCs w:val="16"/>
                <w:lang w:val="en-US" w:eastAsia="en-US"/>
              </w:rPr>
              <w:t>267</w:t>
            </w:r>
            <w:r w:rsidRPr="005B0E5C">
              <w:rPr>
                <w:rFonts w:eastAsia="MS Minngs"/>
                <w:color w:val="491407"/>
                <w:sz w:val="16"/>
                <w:szCs w:val="16"/>
                <w:lang w:eastAsia="en-US"/>
              </w:rPr>
              <w:t xml:space="preserve">, </w:t>
            </w:r>
            <w:hyperlink r:id="rId9" w:history="1">
              <w:r w:rsidRPr="005B0E5C">
                <w:rPr>
                  <w:rFonts w:eastAsia="MS Minngs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5B0E5C">
                <w:rPr>
                  <w:rFonts w:eastAsia="MS Minngs"/>
                  <w:color w:val="491407"/>
                  <w:sz w:val="16"/>
                  <w:szCs w:val="16"/>
                  <w:u w:val="single"/>
                  <w:lang w:val="ru-RU" w:eastAsia="en-US"/>
                </w:rPr>
                <w:t>@</w:t>
              </w:r>
              <w:r w:rsidRPr="005B0E5C">
                <w:rPr>
                  <w:rFonts w:eastAsia="MS Minngs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5B0E5C">
                <w:rPr>
                  <w:rFonts w:eastAsia="MS Minngs"/>
                  <w:color w:val="491407"/>
                  <w:sz w:val="16"/>
                  <w:szCs w:val="16"/>
                  <w:u w:val="single"/>
                  <w:lang w:val="ru-RU" w:eastAsia="en-US"/>
                </w:rPr>
                <w:t>.</w:t>
              </w:r>
              <w:r w:rsidRPr="005B0E5C">
                <w:rPr>
                  <w:rFonts w:eastAsia="MS Minngs"/>
                  <w:color w:val="491407"/>
                  <w:sz w:val="16"/>
                  <w:szCs w:val="16"/>
                  <w:u w:val="single"/>
                  <w:lang w:val="en-US" w:eastAsia="en-US"/>
                </w:rPr>
                <w:t>bg</w:t>
              </w:r>
            </w:hyperlink>
            <w:r w:rsidRPr="005B0E5C">
              <w:rPr>
                <w:rFonts w:eastAsia="MS Minngs"/>
                <w:color w:val="491407"/>
                <w:sz w:val="16"/>
                <w:szCs w:val="16"/>
                <w:lang w:val="ru-RU" w:eastAsia="en-US"/>
              </w:rPr>
              <w:t xml:space="preserve">, </w:t>
            </w:r>
            <w:r w:rsidRPr="005B0E5C">
              <w:rPr>
                <w:rFonts w:eastAsia="MS Minngs"/>
                <w:color w:val="491407"/>
                <w:sz w:val="16"/>
                <w:szCs w:val="16"/>
                <w:lang w:val="en-US" w:eastAsia="en-US"/>
              </w:rPr>
              <w:t>www</w:t>
            </w:r>
            <w:r w:rsidRPr="005B0E5C">
              <w:rPr>
                <w:rFonts w:eastAsia="MS Minngs"/>
                <w:color w:val="491407"/>
                <w:sz w:val="16"/>
                <w:szCs w:val="16"/>
                <w:lang w:val="ru-RU" w:eastAsia="en-US"/>
              </w:rPr>
              <w:t>.</w:t>
            </w:r>
            <w:r w:rsidRPr="005B0E5C">
              <w:rPr>
                <w:rFonts w:eastAsia="MS Minngs"/>
                <w:color w:val="491407"/>
                <w:sz w:val="16"/>
                <w:szCs w:val="16"/>
                <w:lang w:val="en-US" w:eastAsia="en-US"/>
              </w:rPr>
              <w:t>dfz</w:t>
            </w:r>
            <w:r w:rsidRPr="005B0E5C">
              <w:rPr>
                <w:rFonts w:eastAsia="MS Minngs"/>
                <w:color w:val="491407"/>
                <w:sz w:val="16"/>
                <w:szCs w:val="16"/>
                <w:lang w:val="ru-RU" w:eastAsia="en-US"/>
              </w:rPr>
              <w:t>.</w:t>
            </w:r>
            <w:r w:rsidRPr="005B0E5C">
              <w:rPr>
                <w:rFonts w:eastAsia="MS Minngs"/>
                <w:color w:val="491407"/>
                <w:sz w:val="16"/>
                <w:szCs w:val="16"/>
                <w:lang w:val="en-US" w:eastAsia="en-US"/>
              </w:rPr>
              <w:t>bg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0E5C" w:rsidRPr="005B0E5C" w:rsidRDefault="005B0E5C" w:rsidP="005B0E5C">
            <w:pPr>
              <w:rPr>
                <w:rFonts w:ascii="Timok" w:eastAsia="Calibri" w:hAnsi="Timok"/>
                <w:szCs w:val="22"/>
                <w:lang w:val="en-US"/>
              </w:rPr>
            </w:pPr>
            <w:r w:rsidRPr="005B0E5C">
              <w:rPr>
                <w:rFonts w:ascii="Timok" w:eastAsia="Calibri" w:hAnsi="Timok"/>
                <w:noProof/>
                <w:szCs w:val="22"/>
              </w:rPr>
              <w:drawing>
                <wp:inline distT="0" distB="0" distL="0" distR="0">
                  <wp:extent cx="1916430" cy="683895"/>
                  <wp:effectExtent l="0" t="0" r="762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5D5" w:rsidRDefault="004065D5" w:rsidP="00196727">
      <w:pPr>
        <w:jc w:val="center"/>
        <w:rPr>
          <w:b/>
        </w:rPr>
      </w:pPr>
    </w:p>
    <w:p w:rsidR="00196727" w:rsidRDefault="00196727" w:rsidP="003577E5">
      <w:pPr>
        <w:ind w:firstLine="708"/>
        <w:rPr>
          <w:b/>
        </w:rPr>
      </w:pPr>
      <w:r w:rsidRPr="00BD262D">
        <w:rPr>
          <w:b/>
        </w:rPr>
        <w:t xml:space="preserve">НАЙ-ЧЕСТО </w:t>
      </w:r>
      <w:r>
        <w:rPr>
          <w:b/>
        </w:rPr>
        <w:t>ДОПУСКАНИ ГРЕШКИ</w:t>
      </w:r>
      <w:r w:rsidR="003577E5">
        <w:rPr>
          <w:b/>
        </w:rPr>
        <w:t xml:space="preserve"> </w:t>
      </w:r>
      <w:r>
        <w:rPr>
          <w:b/>
        </w:rPr>
        <w:t xml:space="preserve">ОТ </w:t>
      </w:r>
      <w:r w:rsidR="00377353">
        <w:rPr>
          <w:b/>
        </w:rPr>
        <w:t>БЕНЕФИЦИЕНТИТЕ</w:t>
      </w:r>
    </w:p>
    <w:p w:rsidR="003577E5" w:rsidRDefault="00196727" w:rsidP="003577E5">
      <w:pPr>
        <w:pStyle w:val="ListParagraph"/>
        <w:ind w:left="0"/>
        <w:jc w:val="center"/>
        <w:rPr>
          <w:b/>
        </w:rPr>
      </w:pPr>
      <w:r>
        <w:rPr>
          <w:b/>
        </w:rPr>
        <w:t>ПО СХЕМ</w:t>
      </w:r>
      <w:r w:rsidR="00377353">
        <w:rPr>
          <w:b/>
        </w:rPr>
        <w:t>А</w:t>
      </w:r>
      <w:r>
        <w:rPr>
          <w:b/>
        </w:rPr>
        <w:t xml:space="preserve"> ЗА ДЪРЖАВН</w:t>
      </w:r>
      <w:r w:rsidR="00377353">
        <w:rPr>
          <w:b/>
        </w:rPr>
        <w:t>А</w:t>
      </w:r>
      <w:r>
        <w:rPr>
          <w:b/>
        </w:rPr>
        <w:t xml:space="preserve"> ПОМОЩ</w:t>
      </w:r>
    </w:p>
    <w:p w:rsidR="003577E5" w:rsidRPr="006E4A4F" w:rsidRDefault="003577E5" w:rsidP="003577E5">
      <w:pPr>
        <w:pStyle w:val="ListParagraph"/>
        <w:ind w:left="0"/>
        <w:jc w:val="center"/>
      </w:pPr>
      <w:r>
        <w:rPr>
          <w:b/>
        </w:rPr>
        <w:t>„</w:t>
      </w:r>
      <w:r w:rsidRPr="006E4A4F">
        <w:rPr>
          <w:b/>
        </w:rPr>
        <w:t xml:space="preserve">ИНВЕСТИЦИИ В МАТЕРИАЛНИ АКТИВИ В ЗЕМЕДЕЛСКИ СТОПАНСТВА, СВЪРЗАНИ С ПЪРВИЧНО ПРОИЗВОДСТВО НА РАСТЕНИЕВЪДНА </w:t>
      </w:r>
      <w:bookmarkStart w:id="0" w:name="_GoBack"/>
      <w:bookmarkEnd w:id="0"/>
      <w:r w:rsidRPr="006E4A4F">
        <w:rPr>
          <w:b/>
        </w:rPr>
        <w:t>ЗЕМЕДЕЛСКА ПРОДУКЦИЯ</w:t>
      </w:r>
      <w:r>
        <w:rPr>
          <w:b/>
        </w:rPr>
        <w:t>“</w:t>
      </w:r>
    </w:p>
    <w:p w:rsidR="00196727" w:rsidRDefault="00196727" w:rsidP="00196727">
      <w:pPr>
        <w:jc w:val="center"/>
        <w:rPr>
          <w:b/>
        </w:rPr>
      </w:pPr>
    </w:p>
    <w:p w:rsidR="00196727" w:rsidRDefault="003577E5" w:rsidP="003577E5">
      <w:pPr>
        <w:tabs>
          <w:tab w:val="left" w:pos="709"/>
        </w:tabs>
        <w:jc w:val="both"/>
      </w:pPr>
      <w:r>
        <w:tab/>
      </w:r>
      <w:r w:rsidR="00196727">
        <w:t xml:space="preserve">Въз основа на анализ на постъпилите проекти </w:t>
      </w:r>
      <w:r w:rsidR="005B0E5C">
        <w:t>от предходни приеми</w:t>
      </w:r>
      <w:r>
        <w:t xml:space="preserve"> </w:t>
      </w:r>
      <w:r w:rsidR="00196727">
        <w:t>по схем</w:t>
      </w:r>
      <w:r>
        <w:t>ата</w:t>
      </w:r>
      <w:r w:rsidR="00196727">
        <w:t xml:space="preserve"> за държавн</w:t>
      </w:r>
      <w:r>
        <w:t>а</w:t>
      </w:r>
      <w:r w:rsidR="00196727">
        <w:t xml:space="preserve"> помощ</w:t>
      </w:r>
      <w:r w:rsidR="00377353">
        <w:t xml:space="preserve"> </w:t>
      </w:r>
      <w:r w:rsidRPr="003577E5">
        <w:t>„Инвестиции в материални активи в земеделски стопанства, свързани с първично производство на растениевъдна земеделска продукция“</w:t>
      </w:r>
      <w:r w:rsidR="00196727">
        <w:t xml:space="preserve"> може да бъдат обобщени следните </w:t>
      </w:r>
      <w:r w:rsidR="00196727" w:rsidRPr="003577E5">
        <w:rPr>
          <w:b/>
        </w:rPr>
        <w:t xml:space="preserve">най-често допускани грешки </w:t>
      </w:r>
      <w:r w:rsidR="00196727" w:rsidRPr="00196727">
        <w:t>от страна на кандидатите и причини за изискване на допълнителна информация и документи</w:t>
      </w:r>
      <w:r w:rsidR="00196727">
        <w:t>:</w:t>
      </w:r>
    </w:p>
    <w:p w:rsidR="006E4A4F" w:rsidRDefault="006E4A4F" w:rsidP="006E4A4F">
      <w:pPr>
        <w:pStyle w:val="ListParagraph"/>
        <w:jc w:val="both"/>
        <w:rPr>
          <w:b/>
          <w:lang w:val="ru-RU"/>
        </w:rPr>
      </w:pPr>
    </w:p>
    <w:p w:rsidR="00377353" w:rsidRDefault="00E91333" w:rsidP="00E3534E">
      <w:pPr>
        <w:pStyle w:val="ListParagraph"/>
        <w:numPr>
          <w:ilvl w:val="0"/>
          <w:numId w:val="7"/>
        </w:numPr>
        <w:jc w:val="both"/>
      </w:pPr>
      <w:r w:rsidRPr="00E91333">
        <w:rPr>
          <w:b/>
        </w:rPr>
        <w:t>Непълна обосновка –</w:t>
      </w:r>
      <w:r>
        <w:rPr>
          <w:b/>
        </w:rPr>
        <w:t xml:space="preserve"> </w:t>
      </w:r>
      <w:r w:rsidRPr="00BD262D">
        <w:t>не е посочено</w:t>
      </w:r>
      <w:r>
        <w:t xml:space="preserve"> по какъв начин се е осъществявал до момента процесът на охлаждане, съхранение и подготовка за продажба на продукцията, както и наличните към момента на кандидатстване активи с подобно предназначение. В случай на налично оборудване с подобно предназначение е необходимо да бъде описано и обосновано необходимостта от закупуването на допълнително такова – дали са увеличени обработваемите площи със съответните култури и това налага закупуването на допълнително оборудване, дали старото оборудване е от друг тип и кандидатът желае да закупуването на по-модерно /по-ефективно /по-малко трудоемко оборудване. К</w:t>
      </w:r>
      <w:r w:rsidRPr="00E91333">
        <w:t>андидатът</w:t>
      </w:r>
      <w:r w:rsidRPr="00E91333">
        <w:rPr>
          <w:b/>
          <w:lang w:val="en-US"/>
        </w:rPr>
        <w:t xml:space="preserve"> </w:t>
      </w:r>
      <w:r>
        <w:t>не е представил достатъчна информация за отглежданите от него култури, реализираните добиви и не е обосновал в достатъчна степен вида и капацитета на закупуваните машини и оборудване с произвежданата растениевъдна продукция;</w:t>
      </w:r>
    </w:p>
    <w:p w:rsidR="00E3534E" w:rsidRDefault="00E3534E" w:rsidP="003577E5">
      <w:pPr>
        <w:pStyle w:val="ListParagraph"/>
        <w:ind w:left="0"/>
        <w:jc w:val="both"/>
      </w:pPr>
    </w:p>
    <w:p w:rsidR="00377353" w:rsidRDefault="00E91333" w:rsidP="00E3534E">
      <w:pPr>
        <w:pStyle w:val="ListParagraph"/>
        <w:numPr>
          <w:ilvl w:val="0"/>
          <w:numId w:val="7"/>
        </w:numPr>
        <w:jc w:val="both"/>
      </w:pPr>
      <w:r w:rsidRPr="00377353">
        <w:t xml:space="preserve"> </w:t>
      </w:r>
      <w:r w:rsidRPr="00377353">
        <w:rPr>
          <w:b/>
        </w:rPr>
        <w:t>Не са представени документи</w:t>
      </w:r>
      <w:r w:rsidRPr="003577E5">
        <w:t xml:space="preserve"> за собственост или за наем на сградите/помещенията, в които ще се монтира оборудването</w:t>
      </w:r>
      <w:r w:rsidR="00E3534E">
        <w:t>;</w:t>
      </w:r>
    </w:p>
    <w:p w:rsidR="00E3534E" w:rsidRDefault="00E3534E" w:rsidP="00E3534E">
      <w:pPr>
        <w:pStyle w:val="ListParagraph"/>
      </w:pPr>
    </w:p>
    <w:p w:rsidR="003577E5" w:rsidRDefault="003577E5" w:rsidP="00E3534E">
      <w:pPr>
        <w:pStyle w:val="ListParagraph"/>
        <w:numPr>
          <w:ilvl w:val="0"/>
          <w:numId w:val="7"/>
        </w:numPr>
        <w:jc w:val="both"/>
      </w:pPr>
      <w:r w:rsidRPr="003577E5">
        <w:rPr>
          <w:b/>
        </w:rPr>
        <w:t>Заявеното</w:t>
      </w:r>
      <w:r w:rsidRPr="006E4A4F">
        <w:t xml:space="preserve"> </w:t>
      </w:r>
      <w:r w:rsidRPr="003577E5">
        <w:rPr>
          <w:b/>
        </w:rPr>
        <w:t>оборудване или дейности не попадат в обхвата на допустимите инвестиции</w:t>
      </w:r>
      <w:r w:rsidRPr="006E4A4F">
        <w:t xml:space="preserve"> на схемата за държавна помощ;</w:t>
      </w:r>
    </w:p>
    <w:p w:rsidR="003577E5" w:rsidRDefault="003577E5" w:rsidP="003577E5">
      <w:pPr>
        <w:pStyle w:val="ListParagraph"/>
      </w:pPr>
    </w:p>
    <w:p w:rsidR="003577E5" w:rsidRPr="003577E5" w:rsidRDefault="003577E5" w:rsidP="00E3534E">
      <w:pPr>
        <w:pStyle w:val="ListParagraph"/>
        <w:numPr>
          <w:ilvl w:val="0"/>
          <w:numId w:val="7"/>
        </w:numPr>
        <w:jc w:val="both"/>
      </w:pPr>
      <w:r w:rsidRPr="004321CC">
        <w:rPr>
          <w:b/>
        </w:rPr>
        <w:t>Непълни спецификации на закупуваното оборудване</w:t>
      </w:r>
      <w:r w:rsidRPr="004321CC">
        <w:rPr>
          <w:lang w:val="ru-RU"/>
        </w:rPr>
        <w:t xml:space="preserve"> </w:t>
      </w:r>
      <w:r>
        <w:rPr>
          <w:lang w:val="ru-RU"/>
        </w:rPr>
        <w:t>- в</w:t>
      </w:r>
      <w:r w:rsidRPr="004A7A40">
        <w:rPr>
          <w:lang w:val="ru-RU"/>
        </w:rPr>
        <w:t xml:space="preserve"> представените договор</w:t>
      </w:r>
      <w:r>
        <w:rPr>
          <w:lang w:val="ru-RU"/>
        </w:rPr>
        <w:t>и</w:t>
      </w:r>
      <w:r w:rsidRPr="004A7A40">
        <w:rPr>
          <w:lang w:val="ru-RU"/>
        </w:rPr>
        <w:t xml:space="preserve"> за покупко-продажба и оферти липсва подробна информация за производител, марка, модел, държава на производство и други специфични технически данни</w:t>
      </w:r>
      <w:r>
        <w:rPr>
          <w:lang w:val="ru-RU"/>
        </w:rPr>
        <w:t xml:space="preserve"> и</w:t>
      </w:r>
      <w:r w:rsidRPr="004A7A40">
        <w:rPr>
          <w:lang w:val="ru-RU"/>
        </w:rPr>
        <w:t xml:space="preserve"> </w:t>
      </w:r>
      <w:r w:rsidRPr="004F7377">
        <w:rPr>
          <w:lang w:val="ru-RU"/>
        </w:rPr>
        <w:t xml:space="preserve">описание на функциите </w:t>
      </w:r>
      <w:r w:rsidRPr="004A7A40">
        <w:rPr>
          <w:lang w:val="ru-RU"/>
        </w:rPr>
        <w:t>на заявените за подпомагане активи</w:t>
      </w:r>
      <w:r w:rsidR="00E3534E">
        <w:rPr>
          <w:lang w:val="ru-RU"/>
        </w:rPr>
        <w:t>;</w:t>
      </w:r>
    </w:p>
    <w:p w:rsidR="00E91333" w:rsidRPr="003577E5" w:rsidRDefault="00E91333" w:rsidP="003577E5">
      <w:pPr>
        <w:pStyle w:val="ListParagraph"/>
        <w:ind w:left="0"/>
        <w:jc w:val="both"/>
      </w:pPr>
    </w:p>
    <w:p w:rsidR="00E91333" w:rsidRDefault="00E91333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Оборудването</w:t>
      </w:r>
      <w:r w:rsidRPr="003577E5">
        <w:t>, включено в трите оферти</w:t>
      </w:r>
      <w:r w:rsidR="00377353">
        <w:t>,</w:t>
      </w:r>
      <w:r w:rsidRPr="003577E5">
        <w:t xml:space="preserve"> </w:t>
      </w:r>
      <w:r w:rsidRPr="00377353">
        <w:rPr>
          <w:b/>
        </w:rPr>
        <w:t>не е съпоставимо</w:t>
      </w:r>
      <w:r w:rsidRPr="003577E5">
        <w:t xml:space="preserve"> –</w:t>
      </w:r>
      <w:r w:rsidRPr="00377353">
        <w:t xml:space="preserve"> основните</w:t>
      </w:r>
      <w:r>
        <w:t xml:space="preserve"> технически характеристики и капацитет на оборудването не са сходни</w:t>
      </w:r>
      <w:r w:rsidR="00E3534E">
        <w:t>;</w:t>
      </w:r>
    </w:p>
    <w:p w:rsidR="006B4D30" w:rsidRDefault="006B4D30" w:rsidP="006B4D30">
      <w:pPr>
        <w:jc w:val="both"/>
      </w:pPr>
    </w:p>
    <w:p w:rsidR="001366CF" w:rsidRDefault="001366CF" w:rsidP="00E3534E">
      <w:pPr>
        <w:pStyle w:val="ListParagraph"/>
        <w:numPr>
          <w:ilvl w:val="0"/>
          <w:numId w:val="7"/>
        </w:numPr>
        <w:jc w:val="both"/>
      </w:pPr>
      <w:r w:rsidRPr="006E4A4F">
        <w:t>Нали</w:t>
      </w:r>
      <w:r w:rsidR="009707A1">
        <w:t>це са</w:t>
      </w:r>
      <w:r w:rsidRPr="006E4A4F">
        <w:t xml:space="preserve"> </w:t>
      </w:r>
      <w:r w:rsidRPr="00E3534E">
        <w:rPr>
          <w:b/>
        </w:rPr>
        <w:t>данъчни задължения</w:t>
      </w:r>
      <w:r w:rsidRPr="006E4A4F">
        <w:t xml:space="preserve"> от страна на кандидата;</w:t>
      </w:r>
    </w:p>
    <w:p w:rsidR="00377353" w:rsidRPr="006E4A4F" w:rsidRDefault="00377353" w:rsidP="003577E5">
      <w:pPr>
        <w:pStyle w:val="ListParagraph"/>
        <w:jc w:val="both"/>
      </w:pPr>
    </w:p>
    <w:p w:rsidR="00B95409" w:rsidRDefault="00B95409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Кандидатът няма 3-годишен опит</w:t>
      </w:r>
      <w:r w:rsidRPr="00B95409">
        <w:t xml:space="preserve"> </w:t>
      </w:r>
      <w:r w:rsidRPr="00E3534E">
        <w:rPr>
          <w:b/>
        </w:rPr>
        <w:t>в областта на растениевъдството</w:t>
      </w:r>
      <w:r>
        <w:t>;</w:t>
      </w:r>
    </w:p>
    <w:p w:rsidR="009707A1" w:rsidRDefault="009707A1" w:rsidP="009707A1">
      <w:pPr>
        <w:pStyle w:val="ListParagraph"/>
        <w:jc w:val="both"/>
      </w:pPr>
    </w:p>
    <w:p w:rsidR="001366CF" w:rsidRPr="009707A1" w:rsidRDefault="001366CF" w:rsidP="001366CF">
      <w:pPr>
        <w:pStyle w:val="ListParagraph"/>
        <w:numPr>
          <w:ilvl w:val="0"/>
          <w:numId w:val="7"/>
        </w:numPr>
        <w:jc w:val="both"/>
        <w:rPr>
          <w:b/>
        </w:rPr>
      </w:pPr>
      <w:r w:rsidRPr="009707A1">
        <w:t>Заявени</w:t>
      </w:r>
      <w:r w:rsidRPr="006E4A4F">
        <w:t xml:space="preserve"> са </w:t>
      </w:r>
      <w:r w:rsidRPr="009707A1">
        <w:rPr>
          <w:b/>
        </w:rPr>
        <w:t>активи, чийто капацитет не е обоснован</w:t>
      </w:r>
      <w:r w:rsidRPr="006E4A4F">
        <w:t xml:space="preserve"> с </w:t>
      </w:r>
      <w:r w:rsidR="00B95409">
        <w:t>обработваеми площи</w:t>
      </w:r>
      <w:r w:rsidRPr="006E4A4F">
        <w:t xml:space="preserve"> и произвежданата продукция.</w:t>
      </w:r>
    </w:p>
    <w:sectPr w:rsidR="001366CF" w:rsidRPr="009707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B7" w:rsidRDefault="007B08B7" w:rsidP="001366CF">
      <w:r>
        <w:separator/>
      </w:r>
    </w:p>
  </w:endnote>
  <w:endnote w:type="continuationSeparator" w:id="0">
    <w:p w:rsidR="007B08B7" w:rsidRDefault="007B08B7" w:rsidP="0013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7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6CF" w:rsidRDefault="001366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E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6CF" w:rsidRDefault="00136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B7" w:rsidRDefault="007B08B7" w:rsidP="001366CF">
      <w:r>
        <w:separator/>
      </w:r>
    </w:p>
  </w:footnote>
  <w:footnote w:type="continuationSeparator" w:id="0">
    <w:p w:rsidR="007B08B7" w:rsidRDefault="007B08B7" w:rsidP="0013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E01EE"/>
    <w:multiLevelType w:val="hybridMultilevel"/>
    <w:tmpl w:val="207CB880"/>
    <w:lvl w:ilvl="0" w:tplc="9ED6E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C367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770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5EA"/>
    <w:multiLevelType w:val="hybridMultilevel"/>
    <w:tmpl w:val="2D963D38"/>
    <w:lvl w:ilvl="0" w:tplc="F93CF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84EDB"/>
    <w:multiLevelType w:val="hybridMultilevel"/>
    <w:tmpl w:val="B7B2B0EE"/>
    <w:lvl w:ilvl="0" w:tplc="068C6C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83E3F"/>
    <w:multiLevelType w:val="hybridMultilevel"/>
    <w:tmpl w:val="886AAF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A27E76"/>
    <w:multiLevelType w:val="hybridMultilevel"/>
    <w:tmpl w:val="C678A0C4"/>
    <w:lvl w:ilvl="0" w:tplc="235867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22"/>
    <w:rsid w:val="001366CF"/>
    <w:rsid w:val="00196727"/>
    <w:rsid w:val="003577E5"/>
    <w:rsid w:val="00377353"/>
    <w:rsid w:val="004065D5"/>
    <w:rsid w:val="00417A26"/>
    <w:rsid w:val="004321CC"/>
    <w:rsid w:val="005B0E5C"/>
    <w:rsid w:val="006B4D30"/>
    <w:rsid w:val="006E4A4F"/>
    <w:rsid w:val="007B08B7"/>
    <w:rsid w:val="008B7B22"/>
    <w:rsid w:val="009707A1"/>
    <w:rsid w:val="00B95409"/>
    <w:rsid w:val="00E3534E"/>
    <w:rsid w:val="00E9133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D330F4-E876-44F7-8229-6A82ACD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27"/>
    <w:pPr>
      <w:ind w:left="720"/>
      <w:contextualSpacing/>
    </w:pPr>
  </w:style>
  <w:style w:type="table" w:styleId="TableGrid">
    <w:name w:val="Table Grid"/>
    <w:basedOn w:val="TableNormal"/>
    <w:uiPriority w:val="59"/>
    <w:rsid w:val="0019672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2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fz@df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0AE2-060A-4DA7-864D-6B172A3B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Vasilev Vasilev</dc:creator>
  <cp:lastModifiedBy>Georgi Ivanov Velikov</cp:lastModifiedBy>
  <cp:revision>3</cp:revision>
  <dcterms:created xsi:type="dcterms:W3CDTF">2020-01-16T11:39:00Z</dcterms:created>
  <dcterms:modified xsi:type="dcterms:W3CDTF">2022-02-18T09:37:00Z</dcterms:modified>
</cp:coreProperties>
</file>