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77777777" w:rsidR="0080773C"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r w:rsidR="00F902D6" w:rsidRPr="002A4893">
        <w:rPr>
          <w:rFonts w:ascii="Times New Roman" w:eastAsia="Times New Roman" w:hAnsi="Times New Roman" w:cs="Times New Roman"/>
          <w:bCs/>
          <w:sz w:val="24"/>
          <w:szCs w:val="28"/>
        </w:rPr>
        <w:t xml:space="preserve"> г.</w:t>
      </w:r>
    </w:p>
    <w:p w14:paraId="0D545DDC" w14:textId="78347A21" w:rsidR="0080773C" w:rsidRPr="0080773C" w:rsidRDefault="0080773C" w:rsidP="004A14DE">
      <w:pPr>
        <w:spacing w:after="0"/>
        <w:jc w:val="right"/>
        <w:rPr>
          <w:rFonts w:ascii="Times New Roman" w:hAnsi="Times New Roman" w:cs="Times New Roman"/>
          <w:b/>
          <w:sz w:val="24"/>
          <w:szCs w:val="24"/>
        </w:rPr>
      </w:pPr>
      <w:r>
        <w:rPr>
          <w:rFonts w:ascii="Times New Roman" w:eastAsia="Times New Roman" w:hAnsi="Times New Roman" w:cs="Times New Roman"/>
          <w:bCs/>
          <w:sz w:val="24"/>
          <w:szCs w:val="28"/>
        </w:rPr>
        <w:t xml:space="preserve">изменена със </w:t>
      </w:r>
      <w:r w:rsidRPr="007949D8">
        <w:rPr>
          <w:rFonts w:ascii="Times New Roman" w:eastAsia="Times New Roman" w:hAnsi="Times New Roman" w:cs="Times New Roman"/>
          <w:bCs/>
          <w:sz w:val="24"/>
          <w:szCs w:val="28"/>
        </w:rPr>
        <w:t>Заповед №</w:t>
      </w:r>
      <w:r w:rsidR="007949D8">
        <w:rPr>
          <w:rFonts w:ascii="Times New Roman" w:eastAsia="Times New Roman" w:hAnsi="Times New Roman" w:cs="Times New Roman"/>
          <w:bCs/>
          <w:sz w:val="24"/>
          <w:szCs w:val="28"/>
        </w:rPr>
        <w:t xml:space="preserve"> </w:t>
      </w:r>
      <w:r w:rsidR="007949D8" w:rsidRPr="007949D8">
        <w:rPr>
          <w:rFonts w:ascii="Times New Roman" w:eastAsia="Times New Roman" w:hAnsi="Times New Roman" w:cs="Times New Roman"/>
          <w:bCs/>
          <w:sz w:val="24"/>
          <w:szCs w:val="28"/>
          <w:lang w:val="en-US"/>
        </w:rPr>
        <w:t xml:space="preserve">09-639 </w:t>
      </w:r>
      <w:r w:rsidR="007949D8" w:rsidRPr="007949D8">
        <w:rPr>
          <w:rFonts w:ascii="Times New Roman" w:eastAsia="Times New Roman" w:hAnsi="Times New Roman" w:cs="Times New Roman"/>
          <w:bCs/>
          <w:sz w:val="24"/>
          <w:szCs w:val="28"/>
        </w:rPr>
        <w:t>от 21.06.2021 г.</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855"/>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подмярка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7C72CA">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7C72CA">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7C72CA">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7C72CA">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7C72CA">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7C72CA">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7C72CA">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7C72CA">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7C72CA">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7C72CA">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7C72CA">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7C72CA">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7C72CA">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7C72CA">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7C72CA">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7C72CA">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313"/>
        <w:gridCol w:w="7692"/>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proofErr w:type="spellStart"/>
            <w:r w:rsidRPr="002A4893">
              <w:rPr>
                <w:rFonts w:ascii="Times New Roman" w:hAnsi="Times New Roman" w:cs="Times New Roman"/>
                <w:b/>
                <w:sz w:val="24"/>
                <w:szCs w:val="24"/>
              </w:rPr>
              <w:lastRenderedPageBreak/>
              <w:t>БФП</w:t>
            </w:r>
            <w:proofErr w:type="spellEnd"/>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sz w:val="24"/>
                <w:szCs w:val="24"/>
              </w:rPr>
              <w:t>ВЕИ</w:t>
            </w:r>
            <w:proofErr w:type="spellEnd"/>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proofErr w:type="spellStart"/>
            <w:r w:rsidRPr="002A4893">
              <w:rPr>
                <w:rFonts w:ascii="Times New Roman" w:hAnsi="Times New Roman" w:cs="Times New Roman"/>
                <w:sz w:val="24"/>
                <w:szCs w:val="24"/>
              </w:rPr>
              <w:t>Възообновяеми</w:t>
            </w:r>
            <w:proofErr w:type="spellEnd"/>
            <w:r w:rsidRPr="002A4893">
              <w:rPr>
                <w:rFonts w:ascii="Times New Roman" w:hAnsi="Times New Roman" w:cs="Times New Roman"/>
                <w:sz w:val="24"/>
                <w:szCs w:val="24"/>
              </w:rPr>
              <w:t xml:space="preserve">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sz w:val="24"/>
                <w:szCs w:val="24"/>
              </w:rPr>
              <w:t>ДФЕС</w:t>
            </w:r>
            <w:proofErr w:type="spellEnd"/>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sz w:val="24"/>
                <w:szCs w:val="24"/>
              </w:rPr>
              <w:t>ДФЗ-РА</w:t>
            </w:r>
            <w:proofErr w:type="spellEnd"/>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color w:val="000000"/>
                <w:sz w:val="24"/>
                <w:szCs w:val="24"/>
              </w:rPr>
              <w:t>ЕЗФРСР</w:t>
            </w:r>
            <w:proofErr w:type="spellEnd"/>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color w:val="000000"/>
                <w:sz w:val="24"/>
                <w:szCs w:val="24"/>
              </w:rPr>
              <w:t>ЗВ</w:t>
            </w:r>
            <w:proofErr w:type="spellEnd"/>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sz w:val="24"/>
                <w:szCs w:val="24"/>
              </w:rPr>
              <w:t>ЗВД</w:t>
            </w:r>
            <w:proofErr w:type="spellEnd"/>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sz w:val="24"/>
                <w:szCs w:val="24"/>
              </w:rPr>
              <w:t>ИСУН</w:t>
            </w:r>
            <w:proofErr w:type="spellEnd"/>
            <w:r w:rsidRPr="002A4893">
              <w:rPr>
                <w:rFonts w:ascii="Times New Roman" w:hAnsi="Times New Roman" w:cs="Times New Roman"/>
                <w:b/>
                <w:sz w:val="24"/>
                <w:szCs w:val="24"/>
              </w:rPr>
              <w:t xml:space="preserve">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color w:val="000000"/>
                <w:sz w:val="24"/>
                <w:szCs w:val="24"/>
              </w:rPr>
              <w:t>КЕП</w:t>
            </w:r>
            <w:proofErr w:type="spellEnd"/>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color w:val="000000"/>
                <w:sz w:val="24"/>
                <w:szCs w:val="24"/>
              </w:rPr>
              <w:t>КСС</w:t>
            </w:r>
            <w:proofErr w:type="spellEnd"/>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color w:val="000000"/>
                <w:sz w:val="24"/>
                <w:szCs w:val="24"/>
              </w:rPr>
              <w:t>ПРСР</w:t>
            </w:r>
            <w:proofErr w:type="spellEnd"/>
            <w:r w:rsidRPr="002A4893">
              <w:rPr>
                <w:rFonts w:ascii="Times New Roman" w:hAnsi="Times New Roman" w:cs="Times New Roman"/>
                <w:b/>
                <w:color w:val="000000"/>
                <w:sz w:val="24"/>
                <w:szCs w:val="24"/>
              </w:rPr>
              <w:t xml:space="preserve">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color w:val="000000"/>
                <w:sz w:val="24"/>
                <w:szCs w:val="24"/>
              </w:rPr>
              <w:t>ПУРБ</w:t>
            </w:r>
            <w:proofErr w:type="spellEnd"/>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proofErr w:type="spellStart"/>
            <w:r w:rsidRPr="002A4893">
              <w:rPr>
                <w:rFonts w:ascii="Times New Roman" w:hAnsi="Times New Roman" w:cs="Times New Roman"/>
                <w:b/>
                <w:color w:val="000000"/>
                <w:sz w:val="24"/>
                <w:szCs w:val="24"/>
              </w:rPr>
              <w:t>РА</w:t>
            </w:r>
            <w:proofErr w:type="spellEnd"/>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color w:val="000000"/>
                <w:sz w:val="24"/>
                <w:szCs w:val="24"/>
              </w:rPr>
              <w:t>СМР</w:t>
            </w:r>
            <w:proofErr w:type="spellEnd"/>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proofErr w:type="spellStart"/>
            <w:r w:rsidRPr="002A4893">
              <w:rPr>
                <w:rFonts w:ascii="Times New Roman" w:hAnsi="Times New Roman" w:cs="Times New Roman"/>
                <w:b/>
                <w:color w:val="000000"/>
                <w:sz w:val="24"/>
                <w:szCs w:val="24"/>
              </w:rPr>
              <w:t>УО</w:t>
            </w:r>
            <w:proofErr w:type="spellEnd"/>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7063"/>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proofErr w:type="spellStart"/>
            <w:r w:rsidRPr="002A4893">
              <w:rPr>
                <w:rFonts w:ascii="Times New Roman" w:hAnsi="Times New Roman" w:cs="Times New Roman"/>
                <w:sz w:val="24"/>
                <w:szCs w:val="24"/>
                <w:lang w:val="x-none"/>
              </w:rPr>
              <w:t>оговор</w:t>
            </w:r>
            <w:proofErr w:type="spellEnd"/>
            <w:r w:rsidRPr="002A4893">
              <w:rPr>
                <w:rFonts w:ascii="Times New Roman" w:hAnsi="Times New Roman" w:cs="Times New Roman"/>
                <w:sz w:val="24"/>
                <w:szCs w:val="24"/>
                <w:lang w:val="x-none"/>
              </w:rPr>
              <w:t xml:space="preserve">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2"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w:t>
              </w:r>
              <w:proofErr w:type="spellStart"/>
              <w:r w:rsidRPr="002A4893">
                <w:rPr>
                  <w:rFonts w:ascii="Times New Roman" w:hAnsi="Times New Roman" w:cs="Times New Roman"/>
                  <w:sz w:val="24"/>
                  <w:szCs w:val="24"/>
                </w:rPr>
                <w:t>на</w:t>
              </w:r>
              <w:proofErr w:type="spellEnd"/>
              <w:r w:rsidRPr="002A4893">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proofErr w:type="spellStart"/>
              <w:r w:rsidRPr="002A4893">
                <w:rPr>
                  <w:rFonts w:ascii="Times New Roman" w:hAnsi="Times New Roman" w:cs="Times New Roman"/>
                  <w:sz w:val="24"/>
                  <w:szCs w:val="24"/>
                </w:rPr>
                <w:t>ОВ</w:t>
              </w:r>
              <w:proofErr w:type="spellEnd"/>
              <w:r w:rsidRPr="002A4893">
                <w:rPr>
                  <w:rFonts w:ascii="Times New Roman" w:hAnsi="Times New Roman" w:cs="Times New Roman"/>
                  <w:sz w:val="24"/>
                  <w:szCs w:val="24"/>
                </w:rPr>
                <w:t>,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proofErr w:type="spellStart"/>
            <w:r w:rsidRPr="008902B2">
              <w:rPr>
                <w:rFonts w:ascii="Times New Roman" w:hAnsi="Times New Roman" w:cs="Times New Roman"/>
                <w:b/>
                <w:color w:val="000000"/>
                <w:sz w:val="24"/>
              </w:rPr>
              <w:t>Биогорива</w:t>
            </w:r>
            <w:proofErr w:type="spellEnd"/>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Течни, газообразни или твърди горива, произведени от биомаса </w:t>
            </w:r>
            <w:r w:rsidRPr="002A4893">
              <w:rPr>
                <w:rFonts w:ascii="Times New Roman" w:eastAsia="Times New Roman" w:hAnsi="Times New Roman" w:cs="Times New Roman"/>
                <w:color w:val="000000"/>
                <w:sz w:val="24"/>
                <w:szCs w:val="24"/>
              </w:rPr>
              <w:lastRenderedPageBreak/>
              <w:t>(</w:t>
            </w:r>
            <w:proofErr w:type="spellStart"/>
            <w:r w:rsidRPr="002A4893">
              <w:rPr>
                <w:rFonts w:ascii="Times New Roman" w:eastAsia="Times New Roman" w:hAnsi="Times New Roman" w:cs="Times New Roman"/>
                <w:color w:val="000000"/>
                <w:sz w:val="24"/>
                <w:szCs w:val="24"/>
              </w:rPr>
              <w:t>пелети</w:t>
            </w:r>
            <w:proofErr w:type="spellEnd"/>
            <w:r w:rsidRPr="002A4893">
              <w:rPr>
                <w:rFonts w:ascii="Times New Roman" w:eastAsia="Times New Roman" w:hAnsi="Times New Roman" w:cs="Times New Roman"/>
                <w:color w:val="000000"/>
                <w:sz w:val="24"/>
                <w:szCs w:val="24"/>
              </w:rPr>
              <w:t xml:space="preserve">, брикети, нарязана и пресована слама и други остатъчни продукти от преработка на земеделски суровини, </w:t>
            </w:r>
            <w:proofErr w:type="spellStart"/>
            <w:r w:rsidRPr="002A4893">
              <w:rPr>
                <w:rFonts w:ascii="Times New Roman" w:eastAsia="Times New Roman" w:hAnsi="Times New Roman" w:cs="Times New Roman"/>
                <w:color w:val="000000"/>
                <w:sz w:val="24"/>
                <w:szCs w:val="24"/>
              </w:rPr>
              <w:t>биодизел</w:t>
            </w:r>
            <w:proofErr w:type="spellEnd"/>
            <w:r w:rsidRPr="002A4893">
              <w:rPr>
                <w:rFonts w:ascii="Times New Roman" w:eastAsia="Times New Roman" w:hAnsi="Times New Roman" w:cs="Times New Roman"/>
                <w:color w:val="000000"/>
                <w:sz w:val="24"/>
                <w:szCs w:val="24"/>
              </w:rPr>
              <w:t xml:space="preserve">,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етери, произведени от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включително </w:t>
            </w:r>
            <w:proofErr w:type="spellStart"/>
            <w:r w:rsidRPr="002A4893">
              <w:rPr>
                <w:rFonts w:ascii="Times New Roman" w:eastAsia="Times New Roman" w:hAnsi="Times New Roman" w:cs="Times New Roman"/>
                <w:color w:val="000000"/>
                <w:sz w:val="24"/>
                <w:szCs w:val="24"/>
              </w:rPr>
              <w:t>биогориво</w:t>
            </w:r>
            <w:proofErr w:type="spellEnd"/>
            <w:r w:rsidRPr="002A4893">
              <w:rPr>
                <w:rFonts w:ascii="Times New Roman" w:eastAsia="Times New Roman" w:hAnsi="Times New Roman" w:cs="Times New Roman"/>
                <w:color w:val="000000"/>
                <w:sz w:val="24"/>
                <w:szCs w:val="24"/>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2A4893">
              <w:rPr>
                <w:rFonts w:ascii="Times New Roman" w:eastAsia="Times New Roman" w:hAnsi="Times New Roman" w:cs="Times New Roman"/>
                <w:color w:val="000000"/>
                <w:sz w:val="24"/>
                <w:szCs w:val="24"/>
              </w:rPr>
              <w:t>Eвропейския</w:t>
            </w:r>
            <w:proofErr w:type="spellEnd"/>
            <w:r w:rsidRPr="002A4893">
              <w:rPr>
                <w:rFonts w:ascii="Times New Roman" w:eastAsia="Times New Roman" w:hAnsi="Times New Roman" w:cs="Times New Roman"/>
                <w:color w:val="000000"/>
                <w:sz w:val="24"/>
                <w:szCs w:val="24"/>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w:t>
            </w:r>
            <w:proofErr w:type="spellStart"/>
            <w:r w:rsidRPr="002A4893">
              <w:rPr>
                <w:rFonts w:ascii="Times New Roman" w:eastAsia="Times New Roman" w:hAnsi="Times New Roman" w:cs="Times New Roman"/>
                <w:color w:val="000000"/>
                <w:sz w:val="24"/>
                <w:szCs w:val="24"/>
              </w:rPr>
              <w:t>ОВ</w:t>
            </w:r>
            <w:proofErr w:type="spellEnd"/>
            <w:r w:rsidRPr="002A4893">
              <w:rPr>
                <w:rFonts w:ascii="Times New Roman" w:eastAsia="Times New Roman" w:hAnsi="Times New Roman" w:cs="Times New Roman"/>
                <w:color w:val="000000"/>
                <w:sz w:val="24"/>
                <w:szCs w:val="24"/>
              </w:rPr>
              <w:t>,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lastRenderedPageBreak/>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proofErr w:type="spellStart"/>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w:t>
            </w:r>
            <w:proofErr w:type="spellEnd"/>
            <w:r>
              <w:rPr>
                <w:rFonts w:ascii="Times New Roman" w:eastAsiaTheme="minorEastAsia" w:hAnsi="Times New Roman" w:cs="Times New Roman"/>
                <w:b/>
                <w:sz w:val="24"/>
                <w:szCs w:val="24"/>
              </w:rPr>
              <w:t xml:space="preserve">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Проект, договор, споразумение или друг механизъм, избран съгласно заложените в </w:t>
            </w:r>
            <w:proofErr w:type="spellStart"/>
            <w:r w:rsidRPr="002A4893">
              <w:rPr>
                <w:rFonts w:ascii="Times New Roman" w:eastAsia="Times New Roman" w:hAnsi="Times New Roman" w:cs="Times New Roman"/>
                <w:snapToGrid w:val="0"/>
                <w:sz w:val="24"/>
                <w:szCs w:val="24"/>
              </w:rPr>
              <w:t>ПРСР</w:t>
            </w:r>
            <w:proofErr w:type="spellEnd"/>
            <w:r w:rsidRPr="002A4893">
              <w:rPr>
                <w:rFonts w:ascii="Times New Roman" w:eastAsia="Times New Roman" w:hAnsi="Times New Roman" w:cs="Times New Roman"/>
                <w:snapToGrid w:val="0"/>
                <w:sz w:val="24"/>
                <w:szCs w:val="24"/>
              </w:rPr>
              <w:t xml:space="preserve"> 2014 – 2020 г. критерии, който се отнася до и се осъществява от един или повече ползватели на помощ, предвид постигането на поставените цели в </w:t>
            </w:r>
            <w:proofErr w:type="spellStart"/>
            <w:r w:rsidRPr="002A4893">
              <w:rPr>
                <w:rFonts w:ascii="Times New Roman" w:eastAsia="Times New Roman" w:hAnsi="Times New Roman" w:cs="Times New Roman"/>
                <w:snapToGrid w:val="0"/>
                <w:sz w:val="24"/>
                <w:szCs w:val="24"/>
              </w:rPr>
              <w:t>ПРСР</w:t>
            </w:r>
            <w:proofErr w:type="spellEnd"/>
            <w:r w:rsidRPr="002A4893">
              <w:rPr>
                <w:rFonts w:ascii="Times New Roman" w:eastAsia="Times New Roman" w:hAnsi="Times New Roman" w:cs="Times New Roman"/>
                <w:snapToGrid w:val="0"/>
                <w:sz w:val="24"/>
                <w:szCs w:val="24"/>
              </w:rPr>
              <w:t>.</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 xml:space="preserve">Производството на земеделски продукти, включително прибиране на реколтата, добив на мляко, отглеждане и развъждане на </w:t>
            </w:r>
            <w:r w:rsidRPr="002A4893">
              <w:lastRenderedPageBreak/>
              <w:t>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A4893">
              <w:rPr>
                <w:rFonts w:ascii="Times New Roman" w:eastAsia="Times New Roman" w:hAnsi="Times New Roman" w:cs="Times New Roman"/>
                <w:snapToGrid w:val="0"/>
                <w:sz w:val="24"/>
                <w:szCs w:val="24"/>
              </w:rPr>
              <w:t>колесни</w:t>
            </w:r>
            <w:proofErr w:type="spellEnd"/>
            <w:r w:rsidRPr="002A4893">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A4893">
              <w:rPr>
                <w:rFonts w:ascii="Times New Roman" w:eastAsia="Times New Roman" w:hAnsi="Times New Roman" w:cs="Times New Roman"/>
                <w:snapToGrid w:val="0"/>
                <w:sz w:val="24"/>
                <w:szCs w:val="24"/>
              </w:rPr>
              <w:t>прикачна</w:t>
            </w:r>
            <w:proofErr w:type="spellEnd"/>
            <w:r w:rsidRPr="002A4893">
              <w:rPr>
                <w:rFonts w:ascii="Times New Roman" w:eastAsia="Times New Roman" w:hAnsi="Times New Roman" w:cs="Times New Roman"/>
                <w:snapToGrid w:val="0"/>
                <w:sz w:val="24"/>
                <w:szCs w:val="24"/>
              </w:rPr>
              <w:t xml:space="preserve">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Стандарт, който е приет от международна организация по стандартизация или международна организация с дейност по </w:t>
            </w:r>
            <w:r w:rsidRPr="002A4893">
              <w:rPr>
                <w:rFonts w:ascii="Times New Roman" w:eastAsia="Times New Roman" w:hAnsi="Times New Roman" w:cs="Times New Roman"/>
                <w:snapToGrid w:val="0"/>
                <w:sz w:val="24"/>
                <w:szCs w:val="24"/>
              </w:rPr>
              <w:lastRenderedPageBreak/>
              <w:t>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lastRenderedPageBreak/>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w:t>
            </w:r>
            <w:proofErr w:type="spellStart"/>
            <w:r w:rsidRPr="002A4893">
              <w:rPr>
                <w:rFonts w:ascii="Times New Roman" w:eastAsia="Times New Roman" w:hAnsi="Times New Roman" w:cs="Times New Roman"/>
                <w:snapToGrid w:val="0"/>
                <w:sz w:val="24"/>
                <w:szCs w:val="24"/>
              </w:rPr>
              <w:t>ЮЛ</w:t>
            </w:r>
            <w:proofErr w:type="spellEnd"/>
            <w:r w:rsidRPr="002A4893">
              <w:rPr>
                <w:rFonts w:ascii="Times New Roman" w:eastAsia="Times New Roman" w:hAnsi="Times New Roman" w:cs="Times New Roman"/>
                <w:snapToGrid w:val="0"/>
                <w:sz w:val="24"/>
                <w:szCs w:val="24"/>
              </w:rPr>
              <w:t xml:space="preserve">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б) </w:t>
            </w:r>
            <w:proofErr w:type="spellStart"/>
            <w:r w:rsidRPr="002A4893">
              <w:rPr>
                <w:rFonts w:ascii="Times New Roman" w:eastAsia="Times New Roman" w:hAnsi="Times New Roman" w:cs="Times New Roman"/>
                <w:snapToGrid w:val="0"/>
                <w:sz w:val="24"/>
                <w:szCs w:val="24"/>
              </w:rPr>
              <w:t>съдружници</w:t>
            </w:r>
            <w:proofErr w:type="spellEnd"/>
            <w:r w:rsidRPr="002A4893">
              <w:rPr>
                <w:rFonts w:ascii="Times New Roman" w:eastAsia="Times New Roman" w:hAnsi="Times New Roman" w:cs="Times New Roman"/>
                <w:snapToGrid w:val="0"/>
                <w:sz w:val="24"/>
                <w:szCs w:val="24"/>
              </w:rPr>
              <w:t>;</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 xml:space="preserve">Организации и/или групи на земеделски </w:t>
            </w:r>
            <w:r w:rsidRPr="002A4893">
              <w:rPr>
                <w:rFonts w:ascii="Times New Roman" w:eastAsia="Times New Roman" w:hAnsi="Times New Roman" w:cs="Times New Roman"/>
                <w:b/>
                <w:snapToGrid w:val="0"/>
                <w:sz w:val="24"/>
                <w:szCs w:val="24"/>
              </w:rPr>
              <w:lastRenderedPageBreak/>
              <w:t>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Съвкупност от дейности, спомагащи за прилагане приоритетите на </w:t>
            </w:r>
            <w:proofErr w:type="spellStart"/>
            <w:r w:rsidRPr="002A4893">
              <w:rPr>
                <w:rFonts w:ascii="Times New Roman" w:eastAsia="Times New Roman" w:hAnsi="Times New Roman" w:cs="Times New Roman"/>
                <w:snapToGrid w:val="0"/>
                <w:sz w:val="24"/>
                <w:szCs w:val="24"/>
              </w:rPr>
              <w:t>ПРСР</w:t>
            </w:r>
            <w:proofErr w:type="spellEnd"/>
            <w:r w:rsidRPr="002A4893">
              <w:rPr>
                <w:rFonts w:ascii="Times New Roman" w:eastAsia="Times New Roman" w:hAnsi="Times New Roman" w:cs="Times New Roman"/>
                <w:snapToGrid w:val="0"/>
                <w:sz w:val="24"/>
                <w:szCs w:val="24"/>
              </w:rPr>
              <w:t xml:space="preserve">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Предпроектно</w:t>
            </w:r>
            <w:proofErr w:type="spellEnd"/>
            <w:r w:rsidRPr="002A4893">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w:t>
            </w:r>
            <w:proofErr w:type="spellStart"/>
            <w:r w:rsidRPr="002A4893">
              <w:rPr>
                <w:rFonts w:ascii="Times New Roman" w:eastAsia="Times New Roman" w:hAnsi="Times New Roman" w:cs="Times New Roman"/>
                <w:snapToGrid w:val="0"/>
                <w:sz w:val="24"/>
                <w:szCs w:val="24"/>
              </w:rPr>
              <w:t>EО</w:t>
            </w:r>
            <w:proofErr w:type="spellEnd"/>
            <w:r w:rsidRPr="002A4893">
              <w:rPr>
                <w:rFonts w:ascii="Times New Roman" w:eastAsia="Times New Roman" w:hAnsi="Times New Roman" w:cs="Times New Roman"/>
                <w:snapToGrid w:val="0"/>
                <w:sz w:val="24"/>
                <w:szCs w:val="24"/>
              </w:rPr>
              <w:t xml:space="preserve">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A4893">
              <w:rPr>
                <w:rFonts w:ascii="Times New Roman" w:eastAsia="Times New Roman" w:hAnsi="Times New Roman" w:cs="Times New Roman"/>
                <w:snapToGrid w:val="0"/>
                <w:sz w:val="24"/>
                <w:szCs w:val="24"/>
              </w:rPr>
              <w:lastRenderedPageBreak/>
              <w:t>услуги (</w:t>
            </w:r>
            <w:proofErr w:type="spellStart"/>
            <w:r w:rsidRPr="002A4893">
              <w:rPr>
                <w:rFonts w:ascii="Times New Roman" w:eastAsia="Times New Roman" w:hAnsi="Times New Roman" w:cs="Times New Roman"/>
                <w:snapToGrid w:val="0"/>
                <w:sz w:val="24"/>
                <w:szCs w:val="24"/>
              </w:rPr>
              <w:t>ОВ</w:t>
            </w:r>
            <w:proofErr w:type="spellEnd"/>
            <w:r w:rsidRPr="002A4893">
              <w:rPr>
                <w:rFonts w:ascii="Times New Roman" w:eastAsia="Times New Roman" w:hAnsi="Times New Roman" w:cs="Times New Roman"/>
                <w:snapToGrid w:val="0"/>
                <w:sz w:val="24"/>
                <w:szCs w:val="24"/>
              </w:rPr>
              <w:t xml:space="preserve">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w:t>
            </w:r>
            <w:proofErr w:type="spellStart"/>
            <w:r w:rsidR="00296009" w:rsidRPr="002A4893">
              <w:rPr>
                <w:rFonts w:ascii="Times New Roman" w:eastAsia="Times New Roman" w:hAnsi="Times New Roman" w:cs="Times New Roman"/>
                <w:snapToGrid w:val="0"/>
                <w:sz w:val="24"/>
                <w:szCs w:val="24"/>
              </w:rPr>
              <w:t>ДФЕС</w:t>
            </w:r>
            <w:proofErr w:type="spellEnd"/>
            <w:r w:rsidR="00296009" w:rsidRPr="002A4893">
              <w:rPr>
                <w:rFonts w:ascii="Times New Roman" w:eastAsia="Times New Roman" w:hAnsi="Times New Roman" w:cs="Times New Roman"/>
                <w:snapToGrid w:val="0"/>
                <w:sz w:val="24"/>
                <w:szCs w:val="24"/>
              </w:rPr>
              <w:t>)</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w:t>
            </w:r>
            <w:proofErr w:type="spellStart"/>
            <w:r w:rsidRPr="002A4893">
              <w:rPr>
                <w:rFonts w:ascii="Times New Roman" w:eastAsia="Times New Roman" w:hAnsi="Times New Roman" w:cs="Times New Roman"/>
                <w:snapToGrid w:val="0"/>
                <w:sz w:val="24"/>
                <w:szCs w:val="24"/>
              </w:rPr>
              <w:t>ОВ</w:t>
            </w:r>
            <w:proofErr w:type="spellEnd"/>
            <w:r w:rsidRPr="002A4893">
              <w:rPr>
                <w:rFonts w:ascii="Times New Roman" w:eastAsia="Times New Roman" w:hAnsi="Times New Roman" w:cs="Times New Roman"/>
                <w:snapToGrid w:val="0"/>
                <w:sz w:val="24"/>
                <w:szCs w:val="24"/>
              </w:rPr>
              <w:t>,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A4893">
              <w:rPr>
                <w:rFonts w:ascii="Times New Roman" w:eastAsia="Times New Roman" w:hAnsi="Times New Roman" w:cs="Times New Roman"/>
                <w:snapToGrid w:val="0"/>
                <w:sz w:val="24"/>
                <w:szCs w:val="24"/>
              </w:rPr>
              <w:lastRenderedPageBreak/>
              <w:t>ягодоплодни</w:t>
            </w:r>
            <w:proofErr w:type="spellEnd"/>
            <w:r w:rsidRPr="002A4893">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w:t>
            </w:r>
            <w:proofErr w:type="spellStart"/>
            <w:r w:rsidRPr="002A4893">
              <w:rPr>
                <w:rFonts w:ascii="Times New Roman" w:eastAsia="Times New Roman" w:hAnsi="Times New Roman" w:cs="Times New Roman"/>
                <w:color w:val="000000"/>
                <w:sz w:val="24"/>
                <w:szCs w:val="24"/>
              </w:rPr>
              <w:t>ПРСР</w:t>
            </w:r>
            <w:proofErr w:type="spellEnd"/>
            <w:r w:rsidRPr="002A4893">
              <w:rPr>
                <w:rFonts w:ascii="Times New Roman" w:eastAsia="Times New Roman" w:hAnsi="Times New Roman" w:cs="Times New Roman"/>
                <w:color w:val="000000"/>
                <w:sz w:val="24"/>
                <w:szCs w:val="24"/>
              </w:rPr>
              <w:t xml:space="preserve">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0" w:name="_Toc69388890"/>
      <w:r w:rsidRPr="008902B2">
        <w:rPr>
          <w:rFonts w:cs="Times New Roman"/>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855"/>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w:t>
            </w:r>
            <w:proofErr w:type="spellStart"/>
            <w:r w:rsidRPr="002A4893">
              <w:rPr>
                <w:rFonts w:ascii="Times New Roman" w:hAnsi="Times New Roman" w:cs="Times New Roman"/>
                <w:sz w:val="24"/>
                <w:szCs w:val="24"/>
              </w:rPr>
              <w:t>ПРСР</w:t>
            </w:r>
            <w:proofErr w:type="spellEnd"/>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1" w:name="_Toc69388891"/>
      <w:r w:rsidRPr="0060217B">
        <w:rPr>
          <w:rFonts w:cs="Times New Roman"/>
        </w:rPr>
        <w:t>2. Наименование на приоритетната ос:</w:t>
      </w:r>
      <w:bookmarkEnd w:id="1"/>
    </w:p>
    <w:tbl>
      <w:tblPr>
        <w:tblStyle w:val="TableGrid"/>
        <w:tblW w:w="5000" w:type="pct"/>
        <w:tblLook w:val="04A0" w:firstRow="1" w:lastRow="0" w:firstColumn="1" w:lastColumn="0" w:noHBand="0" w:noVBand="1"/>
      </w:tblPr>
      <w:tblGrid>
        <w:gridCol w:w="9855"/>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proofErr w:type="spellStart"/>
            <w:r w:rsidR="00832DC0" w:rsidRPr="002A4893">
              <w:rPr>
                <w:rFonts w:ascii="Times New Roman" w:hAnsi="Times New Roman" w:cs="Times New Roman"/>
                <w:sz w:val="24"/>
                <w:szCs w:val="24"/>
              </w:rPr>
              <w:t>ПРСР</w:t>
            </w:r>
            <w:proofErr w:type="spellEnd"/>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A4893">
              <w:rPr>
                <w:rFonts w:ascii="Times New Roman" w:eastAsiaTheme="majorEastAsia" w:hAnsi="Times New Roman" w:cs="Times New Roman"/>
                <w:b/>
                <w:bCs/>
                <w:sz w:val="24"/>
                <w:szCs w:val="24"/>
              </w:rPr>
              <w:t>нисковъглеродна</w:t>
            </w:r>
            <w:proofErr w:type="spellEnd"/>
            <w:r w:rsidRPr="002A4893">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2" w:name="_Toc69388892"/>
      <w:r w:rsidRPr="008902B2">
        <w:rPr>
          <w:rFonts w:cs="Times New Roman"/>
        </w:rPr>
        <w:t>3. Наименование на процедурата:</w:t>
      </w:r>
      <w:bookmarkEnd w:id="2"/>
    </w:p>
    <w:tbl>
      <w:tblPr>
        <w:tblStyle w:val="TableGrid"/>
        <w:tblW w:w="5000" w:type="pct"/>
        <w:tblLook w:val="04A0" w:firstRow="1" w:lastRow="0" w:firstColumn="1" w:lastColumn="0" w:noHBand="0" w:noVBand="1"/>
      </w:tblPr>
      <w:tblGrid>
        <w:gridCol w:w="9855"/>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подмярка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3" w:name="_Toc69388893"/>
      <w:r w:rsidRPr="008902B2">
        <w:rPr>
          <w:rFonts w:cs="Times New Roman"/>
        </w:rPr>
        <w:t>4. Измерения по кодове:</w:t>
      </w:r>
      <w:bookmarkEnd w:id="3"/>
    </w:p>
    <w:tbl>
      <w:tblPr>
        <w:tblStyle w:val="TableGrid"/>
        <w:tblW w:w="5000" w:type="pct"/>
        <w:tblLook w:val="04A0" w:firstRow="1" w:lastRow="0" w:firstColumn="1" w:lastColumn="0" w:noHBand="0" w:noVBand="1"/>
      </w:tblPr>
      <w:tblGrid>
        <w:gridCol w:w="9855"/>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4" w:name="_Toc69388894"/>
      <w:r w:rsidRPr="008902B2">
        <w:rPr>
          <w:rFonts w:cs="Times New Roman"/>
        </w:rPr>
        <w:lastRenderedPageBreak/>
        <w:t>5. Териториален обхват:</w:t>
      </w:r>
      <w:bookmarkEnd w:id="4"/>
    </w:p>
    <w:tbl>
      <w:tblPr>
        <w:tblStyle w:val="TableGrid"/>
        <w:tblW w:w="5000" w:type="pct"/>
        <w:tblLook w:val="04A0" w:firstRow="1" w:lastRow="0" w:firstColumn="1" w:lastColumn="0" w:noHBand="0" w:noVBand="1"/>
      </w:tblPr>
      <w:tblGrid>
        <w:gridCol w:w="9855"/>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5" w:name="_Toc69388895"/>
      <w:r w:rsidRPr="008902B2">
        <w:rPr>
          <w:rFonts w:cs="Times New Roman"/>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855"/>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proofErr w:type="spellStart"/>
            <w:r w:rsidRPr="002A4893">
              <w:rPr>
                <w:rFonts w:ascii="Times New Roman" w:eastAsia="Times New Roman" w:hAnsi="Times New Roman" w:cs="Times New Roman"/>
                <w:sz w:val="24"/>
                <w:szCs w:val="24"/>
                <w:highlight w:val="white"/>
                <w:shd w:val="clear" w:color="auto" w:fill="FEFEFE"/>
                <w:lang w:eastAsia="bg-BG"/>
              </w:rPr>
              <w:t>Подмярка</w:t>
            </w:r>
            <w:proofErr w:type="spellEnd"/>
            <w:r w:rsidRPr="002A4893">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w:t>
            </w:r>
            <w:proofErr w:type="spellStart"/>
            <w:r w:rsidRPr="002A4893">
              <w:rPr>
                <w:rFonts w:ascii="Times New Roman" w:eastAsia="Times New Roman" w:hAnsi="Times New Roman" w:cs="Times New Roman"/>
                <w:sz w:val="24"/>
                <w:szCs w:val="24"/>
                <w:highlight w:val="white"/>
                <w:shd w:val="clear" w:color="auto" w:fill="FEFEFE"/>
                <w:lang w:eastAsia="bg-BG"/>
              </w:rPr>
              <w:t>ПРСР</w:t>
            </w:r>
            <w:proofErr w:type="spellEnd"/>
            <w:r w:rsidRPr="002A4893">
              <w:rPr>
                <w:rFonts w:ascii="Times New Roman" w:eastAsia="Times New Roman" w:hAnsi="Times New Roman" w:cs="Times New Roman"/>
                <w:sz w:val="24"/>
                <w:szCs w:val="24"/>
                <w:highlight w:val="white"/>
                <w:shd w:val="clear" w:color="auto" w:fill="FEFEFE"/>
                <w:lang w:eastAsia="bg-BG"/>
              </w:rPr>
              <w:t xml:space="preserve">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 xml:space="preserve">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w:t>
            </w:r>
            <w:proofErr w:type="spellStart"/>
            <w:r w:rsidRPr="002A4893">
              <w:rPr>
                <w:rFonts w:ascii="Times New Roman" w:hAnsi="Times New Roman" w:cs="Times New Roman"/>
                <w:sz w:val="24"/>
                <w:szCs w:val="24"/>
              </w:rPr>
              <w:t>ЕИВ</w:t>
            </w:r>
            <w:proofErr w:type="spellEnd"/>
            <w:r w:rsidRPr="002A4893">
              <w:rPr>
                <w:rFonts w:ascii="Times New Roman" w:hAnsi="Times New Roman" w:cs="Times New Roman"/>
                <w:sz w:val="24"/>
                <w:szCs w:val="24"/>
              </w:rPr>
              <w:t>,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Чрез Инструмента на Европейския съюз за възстановяване (</w:t>
            </w:r>
            <w:proofErr w:type="spellStart"/>
            <w:r w:rsidRPr="002A4893">
              <w:rPr>
                <w:rFonts w:ascii="Times New Roman" w:eastAsia="Times New Roman" w:hAnsi="Times New Roman" w:cs="Times New Roman"/>
                <w:color w:val="000000"/>
                <w:sz w:val="24"/>
              </w:rPr>
              <w:t>ЕИВ</w:t>
            </w:r>
            <w:proofErr w:type="spellEnd"/>
            <w:r w:rsidRPr="002A4893">
              <w:rPr>
                <w:rFonts w:ascii="Times New Roman" w:eastAsia="Times New Roman" w:hAnsi="Times New Roman" w:cs="Times New Roman"/>
                <w:color w:val="000000"/>
                <w:sz w:val="24"/>
              </w:rPr>
              <w:t xml:space="preserve">) или още </w:t>
            </w:r>
            <w:proofErr w:type="spellStart"/>
            <w:r w:rsidRPr="002A4893">
              <w:rPr>
                <w:rFonts w:ascii="Times New Roman" w:eastAsia="Times New Roman" w:hAnsi="Times New Roman" w:cs="Times New Roman"/>
                <w:color w:val="000000"/>
                <w:sz w:val="24"/>
              </w:rPr>
              <w:t>European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Union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Recovery</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Instrument</w:t>
            </w:r>
            <w:proofErr w:type="spellEnd"/>
            <w:r w:rsidRPr="002A4893">
              <w:rPr>
                <w:rFonts w:ascii="Times New Roman" w:eastAsia="Times New Roman" w:hAnsi="Times New Roman" w:cs="Times New Roman"/>
                <w:color w:val="000000"/>
                <w:sz w:val="24"/>
              </w:rPr>
              <w:t xml:space="preserve"> – (</w:t>
            </w:r>
            <w:proofErr w:type="spellStart"/>
            <w:r w:rsidRPr="002A4893">
              <w:rPr>
                <w:rFonts w:ascii="Times New Roman" w:eastAsia="Times New Roman" w:hAnsi="Times New Roman" w:cs="Times New Roman"/>
                <w:color w:val="000000"/>
                <w:sz w:val="24"/>
              </w:rPr>
              <w:t>EURI</w:t>
            </w:r>
            <w:proofErr w:type="spellEnd"/>
            <w:r w:rsidRPr="002A4893">
              <w:rPr>
                <w:rFonts w:ascii="Times New Roman" w:eastAsia="Times New Roman" w:hAnsi="Times New Roman" w:cs="Times New Roman"/>
                <w:color w:val="000000"/>
                <w:sz w:val="24"/>
              </w:rPr>
              <w:t xml:space="preserve">) се предоставя на страните – членки допълнителен финансов </w:t>
            </w:r>
            <w:proofErr w:type="spellStart"/>
            <w:r w:rsidRPr="002A4893">
              <w:rPr>
                <w:rFonts w:ascii="Times New Roman" w:eastAsia="Times New Roman" w:hAnsi="Times New Roman" w:cs="Times New Roman"/>
                <w:color w:val="000000"/>
                <w:sz w:val="24"/>
              </w:rPr>
              <w:lastRenderedPageBreak/>
              <w:t>ресур</w:t>
            </w:r>
            <w:proofErr w:type="spellEnd"/>
            <w:r w:rsidRPr="002A4893">
              <w:rPr>
                <w:rFonts w:ascii="Times New Roman" w:eastAsia="Times New Roman" w:hAnsi="Times New Roman" w:cs="Times New Roman"/>
                <w:color w:val="000000"/>
                <w:sz w:val="24"/>
              </w:rPr>
              <w:t xml:space="preserve">.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w:t>
            </w:r>
            <w:proofErr w:type="spellStart"/>
            <w:r w:rsidRPr="002A4893">
              <w:rPr>
                <w:rFonts w:ascii="Times New Roman" w:eastAsia="Times New Roman" w:hAnsi="Times New Roman" w:cs="Times New Roman"/>
                <w:color w:val="000000"/>
                <w:sz w:val="24"/>
              </w:rPr>
              <w:t>агроекологията</w:t>
            </w:r>
            <w:proofErr w:type="spellEnd"/>
            <w:r w:rsidRPr="002A4893">
              <w:rPr>
                <w:rFonts w:ascii="Times New Roman" w:eastAsia="Times New Roman" w:hAnsi="Times New Roman" w:cs="Times New Roman"/>
                <w:color w:val="000000"/>
                <w:sz w:val="24"/>
              </w:rPr>
              <w:t xml:space="preserve"> и климата и по-специално: ефективно използване на ресурсите, включително прецизно и интелигентно земеделие, иновации, </w:t>
            </w:r>
            <w:proofErr w:type="spellStart"/>
            <w:r w:rsidRPr="002A4893">
              <w:rPr>
                <w:rFonts w:ascii="Times New Roman" w:eastAsia="Times New Roman" w:hAnsi="Times New Roman" w:cs="Times New Roman"/>
                <w:color w:val="000000"/>
                <w:sz w:val="24"/>
              </w:rPr>
              <w:t>цифровизация</w:t>
            </w:r>
            <w:proofErr w:type="spellEnd"/>
            <w:r w:rsidRPr="002A4893">
              <w:rPr>
                <w:rFonts w:ascii="Times New Roman" w:eastAsia="Times New Roman" w:hAnsi="Times New Roman" w:cs="Times New Roman"/>
                <w:color w:val="000000"/>
                <w:sz w:val="24"/>
              </w:rPr>
              <w:t xml:space="preserve"> и модернизация на производствените машини и оборудване, условия за безопасност при работа, </w:t>
            </w:r>
            <w:proofErr w:type="spellStart"/>
            <w:r w:rsidRPr="002A4893">
              <w:rPr>
                <w:rFonts w:ascii="Times New Roman" w:eastAsia="Times New Roman" w:hAnsi="Times New Roman" w:cs="Times New Roman"/>
                <w:color w:val="000000"/>
                <w:sz w:val="24"/>
              </w:rPr>
              <w:t>възобновяема</w:t>
            </w:r>
            <w:proofErr w:type="spellEnd"/>
            <w:r w:rsidRPr="002A4893">
              <w:rPr>
                <w:rFonts w:ascii="Times New Roman" w:eastAsia="Times New Roman" w:hAnsi="Times New Roman" w:cs="Times New Roman"/>
                <w:color w:val="000000"/>
                <w:sz w:val="24"/>
              </w:rPr>
              <w:t xml:space="preserve"> енергия, кръгова и </w:t>
            </w:r>
            <w:proofErr w:type="spellStart"/>
            <w:r w:rsidRPr="002A4893">
              <w:rPr>
                <w:rFonts w:ascii="Times New Roman" w:eastAsia="Times New Roman" w:hAnsi="Times New Roman" w:cs="Times New Roman"/>
                <w:color w:val="000000"/>
                <w:sz w:val="24"/>
              </w:rPr>
              <w:t>биоикономика</w:t>
            </w:r>
            <w:proofErr w:type="spellEnd"/>
          </w:p>
        </w:tc>
      </w:tr>
    </w:tbl>
    <w:p w14:paraId="267B0184" w14:textId="3CA1FC15" w:rsidR="007F4BFA" w:rsidRPr="008902B2" w:rsidRDefault="002F1BCB">
      <w:pPr>
        <w:pStyle w:val="Heading1"/>
        <w:spacing w:before="0"/>
        <w:jc w:val="both"/>
        <w:rPr>
          <w:rFonts w:cs="Times New Roman"/>
        </w:rPr>
      </w:pPr>
      <w:bookmarkStart w:id="6" w:name="_Toc69388896"/>
      <w:r w:rsidRPr="008902B2">
        <w:rPr>
          <w:rFonts w:cs="Times New Roman"/>
        </w:rPr>
        <w:lastRenderedPageBreak/>
        <w:t>7. Индикатори:</w:t>
      </w:r>
      <w:bookmarkEnd w:id="6"/>
    </w:p>
    <w:tbl>
      <w:tblPr>
        <w:tblStyle w:val="TableGrid"/>
        <w:tblW w:w="5000" w:type="pct"/>
        <w:tblLook w:val="04A0" w:firstRow="1" w:lastRow="0" w:firstColumn="1" w:lastColumn="0" w:noHBand="0" w:noVBand="1"/>
      </w:tblPr>
      <w:tblGrid>
        <w:gridCol w:w="9855"/>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w:t>
            </w:r>
            <w:proofErr w:type="spellStart"/>
            <w:r w:rsidRPr="002A4893">
              <w:rPr>
                <w:rFonts w:ascii="Times New Roman" w:hAnsi="Times New Roman" w:cs="Times New Roman"/>
                <w:sz w:val="24"/>
                <w:szCs w:val="24"/>
              </w:rPr>
              <w:t>ПРСР</w:t>
            </w:r>
            <w:proofErr w:type="spellEnd"/>
            <w:r w:rsidRPr="002A4893">
              <w:rPr>
                <w:rFonts w:ascii="Times New Roman" w:hAnsi="Times New Roman" w:cs="Times New Roman"/>
                <w:sz w:val="24"/>
                <w:szCs w:val="24"/>
              </w:rPr>
              <w:t xml:space="preserve">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 xml:space="preserve">рограмата за развитие </w:t>
            </w:r>
            <w:r w:rsidRPr="002A4893">
              <w:rPr>
                <w:rFonts w:ascii="Times New Roman" w:hAnsi="Times New Roman" w:cs="Times New Roman"/>
                <w:sz w:val="24"/>
                <w:szCs w:val="24"/>
              </w:rPr>
              <w:lastRenderedPageBreak/>
              <w:t>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роцент</w:t>
            </w:r>
            <w:proofErr w:type="spellEnd"/>
            <w:r w:rsidR="00AB17C0" w:rsidRPr="002A4893">
              <w:rPr>
                <w:rFonts w:ascii="Times New Roman" w:hAnsi="Times New Roman" w:cs="Times New Roman"/>
                <w:sz w:val="24"/>
                <w:szCs w:val="24"/>
                <w:lang w:val="en-US"/>
              </w:rPr>
              <w:t xml:space="preserve"> на </w:t>
            </w:r>
            <w:proofErr w:type="spellStart"/>
            <w:r w:rsidR="00AB17C0" w:rsidRPr="002A4893">
              <w:rPr>
                <w:rFonts w:ascii="Times New Roman" w:hAnsi="Times New Roman" w:cs="Times New Roman"/>
                <w:sz w:val="24"/>
                <w:szCs w:val="24"/>
                <w:lang w:val="en-US"/>
              </w:rPr>
              <w:t>земеделските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стопанства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разполагащи</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бизнес</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план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w:t>
            </w:r>
            <w:proofErr w:type="spellStart"/>
            <w:r w:rsidR="00AB17C0" w:rsidRPr="002A4893">
              <w:rPr>
                <w:rFonts w:ascii="Times New Roman" w:hAnsi="Times New Roman" w:cs="Times New Roman"/>
                <w:sz w:val="24"/>
                <w:szCs w:val="24"/>
                <w:lang w:val="en-US"/>
              </w:rPr>
              <w:t>инвестиции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млади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подпомагани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w:t>
            </w:r>
            <w:proofErr w:type="spellEnd"/>
            <w:r w:rsidR="00AB17C0" w:rsidRPr="002A4893">
              <w:rPr>
                <w:rFonts w:ascii="Times New Roman" w:hAnsi="Times New Roman" w:cs="Times New Roman"/>
                <w:sz w:val="24"/>
                <w:szCs w:val="24"/>
                <w:lang w:val="en-US"/>
              </w:rPr>
              <w:t xml:space="preserve"> </w:t>
            </w:r>
            <w:r w:rsidR="00C95BA7"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рограмата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 xml:space="preserve"> на </w:t>
            </w:r>
            <w:proofErr w:type="spellStart"/>
            <w:r w:rsidR="00AB17C0" w:rsidRPr="002A4893">
              <w:rPr>
                <w:rFonts w:ascii="Times New Roman" w:hAnsi="Times New Roman" w:cs="Times New Roman"/>
                <w:sz w:val="24"/>
                <w:szCs w:val="24"/>
                <w:lang w:val="en-US"/>
              </w:rPr>
              <w:t>селските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райони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област</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поставен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акцент</w:t>
            </w:r>
            <w:proofErr w:type="spellEnd"/>
            <w:r w:rsidR="00AB17C0" w:rsidRPr="002A4893">
              <w:rPr>
                <w:rFonts w:ascii="Times New Roman" w:hAnsi="Times New Roman" w:cs="Times New Roman"/>
                <w:sz w:val="24"/>
                <w:szCs w:val="24"/>
                <w:lang w:val="en-US"/>
              </w:rPr>
              <w:t xml:space="preserve">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proofErr w:type="spellStart"/>
            <w:r w:rsidRPr="002A4893">
              <w:rPr>
                <w:rFonts w:ascii="Times New Roman" w:hAnsi="Times New Roman" w:cs="Times New Roman"/>
                <w:sz w:val="24"/>
                <w:szCs w:val="24"/>
                <w:lang w:val="en-US"/>
              </w:rPr>
              <w:t>роцент</w:t>
            </w:r>
            <w:proofErr w:type="spellEnd"/>
            <w:r w:rsidRPr="002A4893">
              <w:rPr>
                <w:rFonts w:ascii="Times New Roman" w:hAnsi="Times New Roman" w:cs="Times New Roman"/>
                <w:sz w:val="24"/>
                <w:szCs w:val="24"/>
                <w:lang w:val="en-US"/>
              </w:rPr>
              <w:t xml:space="preserve"> на </w:t>
            </w:r>
            <w:proofErr w:type="spellStart"/>
            <w:r w:rsidRPr="002A4893">
              <w:rPr>
                <w:rFonts w:ascii="Times New Roman" w:hAnsi="Times New Roman" w:cs="Times New Roman"/>
                <w:sz w:val="24"/>
                <w:szCs w:val="24"/>
                <w:lang w:val="en-US"/>
              </w:rPr>
              <w:t>земеделската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обхваната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договори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цел</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подобряване</w:t>
            </w:r>
            <w:proofErr w:type="spellEnd"/>
            <w:r w:rsidRPr="002A4893">
              <w:rPr>
                <w:rFonts w:ascii="Times New Roman" w:hAnsi="Times New Roman" w:cs="Times New Roman"/>
                <w:sz w:val="24"/>
                <w:szCs w:val="24"/>
                <w:lang w:val="en-US"/>
              </w:rPr>
              <w:t xml:space="preserve"> на </w:t>
            </w:r>
            <w:proofErr w:type="spellStart"/>
            <w:r w:rsidRPr="002A4893">
              <w:rPr>
                <w:rFonts w:ascii="Times New Roman" w:hAnsi="Times New Roman" w:cs="Times New Roman"/>
                <w:sz w:val="24"/>
                <w:szCs w:val="24"/>
                <w:lang w:val="en-US"/>
              </w:rPr>
              <w:t>управлението</w:t>
            </w:r>
            <w:proofErr w:type="spellEnd"/>
            <w:r w:rsidRPr="002A4893">
              <w:rPr>
                <w:rFonts w:ascii="Times New Roman" w:hAnsi="Times New Roman" w:cs="Times New Roman"/>
                <w:sz w:val="24"/>
                <w:szCs w:val="24"/>
                <w:lang w:val="en-US"/>
              </w:rPr>
              <w:t xml:space="preserve"> на </w:t>
            </w:r>
            <w:proofErr w:type="spellStart"/>
            <w:r w:rsidRPr="002A4893">
              <w:rPr>
                <w:rFonts w:ascii="Times New Roman" w:hAnsi="Times New Roman" w:cs="Times New Roman"/>
                <w:sz w:val="24"/>
                <w:szCs w:val="24"/>
                <w:lang w:val="en-US"/>
              </w:rPr>
              <w:t>почвите</w:t>
            </w:r>
            <w:proofErr w:type="spellEnd"/>
            <w:r w:rsidRPr="002A4893">
              <w:rPr>
                <w:rFonts w:ascii="Times New Roman" w:hAnsi="Times New Roman" w:cs="Times New Roman"/>
                <w:sz w:val="24"/>
                <w:szCs w:val="24"/>
                <w:lang w:val="en-US"/>
              </w:rPr>
              <w:t xml:space="preserve"> и/</w:t>
            </w:r>
            <w:proofErr w:type="spellStart"/>
            <w:r w:rsidRPr="002A4893">
              <w:rPr>
                <w:rFonts w:ascii="Times New Roman" w:hAnsi="Times New Roman" w:cs="Times New Roman"/>
                <w:sz w:val="24"/>
                <w:szCs w:val="24"/>
                <w:lang w:val="en-US"/>
              </w:rPr>
              <w:t>или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предотвратяване</w:t>
            </w:r>
            <w:proofErr w:type="spellEnd"/>
            <w:r w:rsidRPr="002A4893">
              <w:rPr>
                <w:rFonts w:ascii="Times New Roman" w:hAnsi="Times New Roman" w:cs="Times New Roman"/>
                <w:sz w:val="24"/>
                <w:szCs w:val="24"/>
                <w:lang w:val="en-US"/>
              </w:rPr>
              <w:t xml:space="preserve"> на </w:t>
            </w:r>
            <w:proofErr w:type="spellStart"/>
            <w:r w:rsidRPr="002A4893">
              <w:rPr>
                <w:rFonts w:ascii="Times New Roman" w:hAnsi="Times New Roman" w:cs="Times New Roman"/>
                <w:sz w:val="24"/>
                <w:szCs w:val="24"/>
                <w:lang w:val="en-US"/>
              </w:rPr>
              <w:t>почвената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ерозия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област</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поставен</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акцент</w:t>
            </w:r>
            <w:proofErr w:type="spellEnd"/>
            <w:r w:rsidRPr="002A4893">
              <w:rPr>
                <w:rFonts w:ascii="Times New Roman" w:hAnsi="Times New Roman" w:cs="Times New Roman"/>
                <w:sz w:val="24"/>
                <w:szCs w:val="24"/>
                <w:lang w:val="en-US"/>
              </w:rPr>
              <w:t xml:space="preserve">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w:t>
            </w:r>
            <w:proofErr w:type="spellStart"/>
            <w:r w:rsidR="00A2669A" w:rsidRPr="002A4893">
              <w:rPr>
                <w:rFonts w:ascii="Times New Roman" w:hAnsi="Times New Roman" w:cs="Times New Roman"/>
                <w:sz w:val="24"/>
                <w:szCs w:val="24"/>
              </w:rPr>
              <w:t>бенефициерите</w:t>
            </w:r>
            <w:proofErr w:type="spellEnd"/>
            <w:r w:rsidR="00A2669A" w:rsidRPr="002A4893">
              <w:rPr>
                <w:rFonts w:ascii="Times New Roman" w:hAnsi="Times New Roman" w:cs="Times New Roman"/>
                <w:sz w:val="24"/>
                <w:szCs w:val="24"/>
              </w:rPr>
              <w:t>,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w:t>
            </w:r>
            <w:proofErr w:type="spellStart"/>
            <w:r w:rsidRPr="002A4893">
              <w:rPr>
                <w:rFonts w:ascii="Times New Roman" w:hAnsi="Times New Roman" w:cs="Times New Roman"/>
                <w:sz w:val="24"/>
                <w:szCs w:val="24"/>
              </w:rPr>
              <w:t>ha</w:t>
            </w:r>
            <w:proofErr w:type="spellEnd"/>
            <w:r w:rsidRPr="002A4893">
              <w:rPr>
                <w:rFonts w:ascii="Times New Roman" w:hAnsi="Times New Roman" w:cs="Times New Roman"/>
                <w:sz w:val="24"/>
                <w:szCs w:val="24"/>
              </w:rPr>
              <w:t>)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w:t>
            </w:r>
            <w:proofErr w:type="spellStart"/>
            <w:r w:rsidR="00A2669A" w:rsidRPr="002A4893">
              <w:rPr>
                <w:rFonts w:ascii="Times New Roman" w:hAnsi="Times New Roman" w:cs="Times New Roman"/>
                <w:sz w:val="24"/>
                <w:szCs w:val="24"/>
              </w:rPr>
              <w:t>ЖЕ</w:t>
            </w:r>
            <w:proofErr w:type="spellEnd"/>
            <w:r w:rsidR="00A2669A" w:rsidRPr="002A4893">
              <w:rPr>
                <w:rFonts w:ascii="Times New Roman" w:hAnsi="Times New Roman" w:cs="Times New Roman"/>
                <w:sz w:val="24"/>
                <w:szCs w:val="24"/>
              </w:rPr>
              <w:t>)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 xml:space="preserve">T4: процент на земеделските стопанства, получаващи подпомагане по </w:t>
            </w:r>
            <w:proofErr w:type="spellStart"/>
            <w:r w:rsidR="0053632F" w:rsidRPr="002A4893">
              <w:rPr>
                <w:rFonts w:ascii="Times New Roman" w:hAnsi="Times New Roman" w:cs="Times New Roman"/>
                <w:sz w:val="24"/>
                <w:szCs w:val="24"/>
              </w:rPr>
              <w:t>ПРСР</w:t>
            </w:r>
            <w:proofErr w:type="spellEnd"/>
            <w:r w:rsidR="0053632F" w:rsidRPr="002A4893">
              <w:rPr>
                <w:rFonts w:ascii="Times New Roman" w:hAnsi="Times New Roman" w:cs="Times New Roman"/>
                <w:sz w:val="24"/>
                <w:szCs w:val="24"/>
              </w:rPr>
              <w:t xml:space="preserve">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 xml:space="preserve">T5: процент на земеделските стопанства, разполагащи с бизнес план за развитие/инвестиции за млади земеделски стопани, подпомагани по </w:t>
            </w:r>
            <w:proofErr w:type="spellStart"/>
            <w:r w:rsidR="0053632F" w:rsidRPr="002A4893">
              <w:rPr>
                <w:rFonts w:ascii="Times New Roman" w:hAnsi="Times New Roman" w:cs="Times New Roman"/>
                <w:sz w:val="24"/>
                <w:szCs w:val="24"/>
              </w:rPr>
              <w:t>ПРСР</w:t>
            </w:r>
            <w:proofErr w:type="spellEnd"/>
            <w:r w:rsidR="0053632F" w:rsidRPr="002A4893">
              <w:rPr>
                <w:rFonts w:ascii="Times New Roman" w:hAnsi="Times New Roman" w:cs="Times New Roman"/>
                <w:sz w:val="24"/>
                <w:szCs w:val="24"/>
              </w:rPr>
              <w:t xml:space="preserve">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proofErr w:type="spellStart"/>
            <w:r w:rsidRPr="002A4893">
              <w:rPr>
                <w:rFonts w:ascii="Times New Roman" w:hAnsi="Times New Roman" w:cs="Times New Roman"/>
                <w:b/>
                <w:sz w:val="24"/>
                <w:szCs w:val="24"/>
              </w:rPr>
              <w:t>ИСУН</w:t>
            </w:r>
            <w:proofErr w:type="spellEnd"/>
            <w:r w:rsidRPr="002A4893">
              <w:rPr>
                <w:rFonts w:ascii="Times New Roman" w:hAnsi="Times New Roman" w:cs="Times New Roman"/>
                <w:b/>
                <w:sz w:val="24"/>
                <w:szCs w:val="24"/>
              </w:rPr>
              <w:t xml:space="preserve">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7" w:name="_Toc69388897"/>
      <w:r w:rsidRPr="008902B2">
        <w:rPr>
          <w:rFonts w:cs="Times New Roman"/>
        </w:rPr>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855"/>
      </w:tblGrid>
      <w:tr w:rsidR="007F4BFA" w:rsidRPr="002A4893" w14:paraId="58D14352" w14:textId="77777777" w:rsidTr="0044084F">
        <w:trPr>
          <w:trHeight w:val="563"/>
        </w:trPr>
        <w:tc>
          <w:tcPr>
            <w:tcW w:w="5000" w:type="pct"/>
            <w:shd w:val="clear" w:color="auto" w:fill="auto"/>
          </w:tcPr>
          <w:tbl>
            <w:tblPr>
              <w:tblW w:w="5000" w:type="pct"/>
              <w:tblLook w:val="04A0" w:firstRow="1" w:lastRow="0" w:firstColumn="1" w:lastColumn="0" w:noHBand="0" w:noVBand="1"/>
            </w:tblPr>
            <w:tblGrid>
              <w:gridCol w:w="9639"/>
            </w:tblGrid>
            <w:tr w:rsidR="0080773C" w:rsidRPr="0080773C" w14:paraId="09A2755C" w14:textId="77777777" w:rsidTr="007949D8">
              <w:trPr>
                <w:trHeight w:val="563"/>
              </w:trPr>
              <w:tc>
                <w:tcPr>
                  <w:tcW w:w="5000" w:type="pct"/>
                  <w:shd w:val="clear" w:color="auto" w:fill="auto"/>
                </w:tcPr>
                <w:p w14:paraId="511A67CB" w14:textId="7D0CA7D1" w:rsidR="006E5208" w:rsidRDefault="0080773C" w:rsidP="0080773C">
                  <w:pPr>
                    <w:spacing w:after="0"/>
                    <w:jc w:val="both"/>
                    <w:rPr>
                      <w:rFonts w:ascii="Times New Roman" w:hAnsi="Times New Roman" w:cs="Times New Roman"/>
                      <w:sz w:val="24"/>
                      <w:szCs w:val="24"/>
                      <w:lang w:val="en-US"/>
                    </w:rPr>
                  </w:pPr>
                  <w:r w:rsidRPr="0080773C">
                    <w:rPr>
                      <w:rFonts w:ascii="Times New Roman" w:hAnsi="Times New Roman" w:cs="Times New Roman"/>
                      <w:sz w:val="24"/>
                      <w:szCs w:val="24"/>
                      <w:lang w:val="en-US"/>
                    </w:rPr>
                    <w:t xml:space="preserve">1. </w:t>
                  </w:r>
                  <w:proofErr w:type="spellStart"/>
                  <w:r w:rsidRPr="0080773C">
                    <w:rPr>
                      <w:rFonts w:ascii="Times New Roman" w:hAnsi="Times New Roman" w:cs="Times New Roman"/>
                      <w:sz w:val="24"/>
                      <w:szCs w:val="24"/>
                      <w:lang w:val="en-US"/>
                    </w:rPr>
                    <w:t>Общият</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размер</w:t>
                  </w:r>
                  <w:proofErr w:type="spellEnd"/>
                  <w:r w:rsidRPr="0080773C">
                    <w:rPr>
                      <w:rFonts w:ascii="Times New Roman" w:hAnsi="Times New Roman" w:cs="Times New Roman"/>
                      <w:sz w:val="24"/>
                      <w:szCs w:val="24"/>
                      <w:lang w:val="en-US"/>
                    </w:rPr>
                    <w:t xml:space="preserve"> на </w:t>
                  </w:r>
                  <w:proofErr w:type="spellStart"/>
                  <w:r w:rsidRPr="0080773C">
                    <w:rPr>
                      <w:rFonts w:ascii="Times New Roman" w:hAnsi="Times New Roman" w:cs="Times New Roman"/>
                      <w:sz w:val="24"/>
                      <w:szCs w:val="24"/>
                      <w:lang w:val="en-US"/>
                    </w:rPr>
                    <w:t>безвъзмездната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финансова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помощ</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настоящата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процедура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възлиза</w:t>
                  </w:r>
                  <w:proofErr w:type="spellEnd"/>
                  <w:r w:rsidRPr="0080773C">
                    <w:rPr>
                      <w:rFonts w:ascii="Times New Roman" w:hAnsi="Times New Roman" w:cs="Times New Roman"/>
                      <w:sz w:val="24"/>
                      <w:szCs w:val="24"/>
                      <w:lang w:val="en-US"/>
                    </w:rPr>
                    <w:t xml:space="preserve"> на 431 997 104, 00 </w:t>
                  </w:r>
                  <w:proofErr w:type="spellStart"/>
                  <w:r w:rsidRPr="0080773C">
                    <w:rPr>
                      <w:rFonts w:ascii="Times New Roman" w:hAnsi="Times New Roman" w:cs="Times New Roman"/>
                      <w:sz w:val="24"/>
                      <w:szCs w:val="24"/>
                      <w:lang w:val="en-US"/>
                    </w:rPr>
                    <w:t>лева</w:t>
                  </w:r>
                  <w:proofErr w:type="spellEnd"/>
                  <w:r w:rsidR="006E5208">
                    <w:rPr>
                      <w:rFonts w:ascii="Times New Roman" w:hAnsi="Times New Roman" w:cs="Times New Roman"/>
                      <w:sz w:val="24"/>
                      <w:szCs w:val="24"/>
                      <w:lang w:val="en-US"/>
                    </w:rPr>
                    <w:t>.</w:t>
                  </w:r>
                </w:p>
                <w:p w14:paraId="696B9AA4" w14:textId="34A8F70C" w:rsidR="0080773C" w:rsidRPr="0080773C" w:rsidRDefault="0080773C" w:rsidP="0080773C">
                  <w:pPr>
                    <w:spacing w:after="0"/>
                    <w:jc w:val="both"/>
                    <w:rPr>
                      <w:rFonts w:ascii="Times New Roman" w:hAnsi="Times New Roman" w:cs="Times New Roman"/>
                      <w:sz w:val="24"/>
                      <w:szCs w:val="24"/>
                      <w:lang w:val="en-US"/>
                    </w:rPr>
                  </w:pPr>
                  <w:r w:rsidRPr="0080773C">
                    <w:rPr>
                      <w:rFonts w:ascii="Times New Roman" w:hAnsi="Times New Roman" w:cs="Times New Roman"/>
                      <w:sz w:val="24"/>
                      <w:szCs w:val="24"/>
                      <w:lang w:val="en-US"/>
                    </w:rPr>
                    <w:lastRenderedPageBreak/>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7"/>
                    <w:gridCol w:w="4057"/>
                    <w:gridCol w:w="2349"/>
                  </w:tblGrid>
                  <w:tr w:rsidR="0080773C" w:rsidRPr="0080773C" w14:paraId="343304F8" w14:textId="77777777" w:rsidTr="006E5208">
                    <w:trPr>
                      <w:trHeight w:val="945"/>
                      <w:jc w:val="center"/>
                    </w:trPr>
                    <w:tc>
                      <w:tcPr>
                        <w:tcW w:w="1597" w:type="pct"/>
                        <w:shd w:val="clear" w:color="auto" w:fill="D6E3BC" w:themeFill="accent3" w:themeFillTint="66"/>
                        <w:vAlign w:val="center"/>
                        <w:hideMark/>
                      </w:tcPr>
                      <w:p w14:paraId="601866E9" w14:textId="77777777" w:rsidR="0080773C" w:rsidRPr="0080773C" w:rsidRDefault="0080773C" w:rsidP="006E5208">
                        <w:pPr>
                          <w:spacing w:after="0"/>
                          <w:ind w:left="351" w:firstLine="209"/>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2330D09D" w14:textId="348DA6D4"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Европейски фондове</w:t>
                        </w:r>
                      </w:p>
                    </w:tc>
                    <w:tc>
                      <w:tcPr>
                        <w:tcW w:w="1249" w:type="pct"/>
                        <w:shd w:val="clear" w:color="auto" w:fill="D6E3BC" w:themeFill="accent3" w:themeFillTint="66"/>
                        <w:vAlign w:val="center"/>
                        <w:hideMark/>
                      </w:tcPr>
                      <w:p w14:paraId="22BFD3F4"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 xml:space="preserve">Национално </w:t>
                        </w:r>
                        <w:proofErr w:type="spellStart"/>
                        <w:r w:rsidRPr="0080773C">
                          <w:rPr>
                            <w:rFonts w:ascii="Times New Roman" w:hAnsi="Times New Roman" w:cs="Times New Roman"/>
                            <w:b/>
                            <w:bCs/>
                            <w:sz w:val="24"/>
                            <w:szCs w:val="24"/>
                          </w:rPr>
                          <w:t>съфинансиране</w:t>
                        </w:r>
                        <w:proofErr w:type="spellEnd"/>
                      </w:p>
                    </w:tc>
                  </w:tr>
                  <w:tr w:rsidR="0080773C" w:rsidRPr="0080773C" w14:paraId="6C01927E" w14:textId="77777777" w:rsidTr="006E5208">
                    <w:trPr>
                      <w:trHeight w:val="87"/>
                      <w:jc w:val="center"/>
                    </w:trPr>
                    <w:tc>
                      <w:tcPr>
                        <w:tcW w:w="1597" w:type="pct"/>
                        <w:shd w:val="clear" w:color="auto" w:fill="D6E3BC" w:themeFill="accent3" w:themeFillTint="66"/>
                        <w:vAlign w:val="center"/>
                      </w:tcPr>
                      <w:p w14:paraId="245262F4" w14:textId="77777777" w:rsidR="0080773C" w:rsidRPr="0080773C" w:rsidRDefault="0080773C" w:rsidP="006E5208">
                        <w:pPr>
                          <w:spacing w:after="0"/>
                          <w:ind w:firstLine="351"/>
                          <w:jc w:val="center"/>
                          <w:rPr>
                            <w:rFonts w:ascii="Times New Roman" w:hAnsi="Times New Roman" w:cs="Times New Roman"/>
                            <w:b/>
                            <w:bCs/>
                            <w:sz w:val="24"/>
                            <w:szCs w:val="24"/>
                          </w:rPr>
                        </w:pPr>
                        <w:r w:rsidRPr="0080773C">
                          <w:rPr>
                            <w:rFonts w:ascii="Times New Roman" w:hAnsi="Times New Roman" w:cs="Times New Roman"/>
                            <w:sz w:val="24"/>
                            <w:szCs w:val="24"/>
                          </w:rPr>
                          <w:t>431 997 104,00 лева</w:t>
                        </w:r>
                      </w:p>
                    </w:tc>
                    <w:tc>
                      <w:tcPr>
                        <w:tcW w:w="2155" w:type="pct"/>
                        <w:shd w:val="clear" w:color="auto" w:fill="D6E3BC" w:themeFill="accent3" w:themeFillTint="66"/>
                        <w:vAlign w:val="center"/>
                      </w:tcPr>
                      <w:p w14:paraId="07AB01B6"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lang w:val="en-GB"/>
                          </w:rPr>
                          <w:t>379 660 280.32</w:t>
                        </w:r>
                        <w:r w:rsidRPr="0080773C">
                          <w:rPr>
                            <w:rFonts w:ascii="Times New Roman" w:hAnsi="Times New Roman" w:cs="Times New Roman"/>
                            <w:sz w:val="24"/>
                            <w:szCs w:val="24"/>
                          </w:rPr>
                          <w:t xml:space="preserve"> лева</w:t>
                        </w:r>
                      </w:p>
                    </w:tc>
                    <w:tc>
                      <w:tcPr>
                        <w:tcW w:w="1249" w:type="pct"/>
                        <w:shd w:val="clear" w:color="auto" w:fill="D6E3BC" w:themeFill="accent3" w:themeFillTint="66"/>
                        <w:vAlign w:val="center"/>
                      </w:tcPr>
                      <w:p w14:paraId="466D5924"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52 336 823,68 лева</w:t>
                        </w:r>
                      </w:p>
                    </w:tc>
                  </w:tr>
                  <w:tr w:rsidR="0080773C" w:rsidRPr="0080773C" w14:paraId="5B580C6F" w14:textId="77777777" w:rsidTr="006E5208">
                    <w:trPr>
                      <w:trHeight w:val="87"/>
                      <w:jc w:val="center"/>
                    </w:trPr>
                    <w:tc>
                      <w:tcPr>
                        <w:tcW w:w="1597" w:type="pct"/>
                        <w:shd w:val="clear" w:color="auto" w:fill="D6E3BC" w:themeFill="accent3" w:themeFillTint="66"/>
                        <w:vAlign w:val="center"/>
                      </w:tcPr>
                      <w:p w14:paraId="135DD281" w14:textId="3945D660" w:rsidR="0080773C" w:rsidRPr="0080773C" w:rsidRDefault="0080773C" w:rsidP="006E5208">
                        <w:pPr>
                          <w:spacing w:after="0"/>
                          <w:ind w:left="67" w:firstLine="284"/>
                          <w:jc w:val="center"/>
                          <w:rPr>
                            <w:rFonts w:ascii="Times New Roman" w:hAnsi="Times New Roman" w:cs="Times New Roman"/>
                            <w:b/>
                            <w:bCs/>
                            <w:sz w:val="24"/>
                            <w:szCs w:val="24"/>
                          </w:rPr>
                        </w:pPr>
                        <w:r w:rsidRPr="0080773C">
                          <w:rPr>
                            <w:rFonts w:ascii="Times New Roman" w:hAnsi="Times New Roman" w:cs="Times New Roman"/>
                            <w:sz w:val="24"/>
                            <w:szCs w:val="24"/>
                          </w:rPr>
                          <w:t>220 880 000,00 евро</w:t>
                        </w:r>
                      </w:p>
                    </w:tc>
                    <w:tc>
                      <w:tcPr>
                        <w:tcW w:w="2155" w:type="pct"/>
                        <w:shd w:val="clear" w:color="auto" w:fill="D6E3BC" w:themeFill="accent3" w:themeFillTint="66"/>
                        <w:vAlign w:val="center"/>
                      </w:tcPr>
                      <w:p w14:paraId="1161538B"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194 120 196,50 евро</w:t>
                        </w:r>
                      </w:p>
                    </w:tc>
                    <w:tc>
                      <w:tcPr>
                        <w:tcW w:w="1249" w:type="pct"/>
                        <w:shd w:val="clear" w:color="auto" w:fill="D6E3BC" w:themeFill="accent3" w:themeFillTint="66"/>
                        <w:vAlign w:val="center"/>
                      </w:tcPr>
                      <w:p w14:paraId="5DCEA33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26 759 803,50 евро</w:t>
                        </w:r>
                      </w:p>
                    </w:tc>
                  </w:tr>
                  <w:tr w:rsidR="0080773C" w:rsidRPr="0080773C" w14:paraId="3DB9C537" w14:textId="77777777" w:rsidTr="006E5208">
                    <w:trPr>
                      <w:trHeight w:val="87"/>
                      <w:jc w:val="center"/>
                    </w:trPr>
                    <w:tc>
                      <w:tcPr>
                        <w:tcW w:w="1597" w:type="pct"/>
                        <w:shd w:val="clear" w:color="auto" w:fill="auto"/>
                        <w:vAlign w:val="center"/>
                      </w:tcPr>
                      <w:p w14:paraId="5BE1D28B" w14:textId="77777777" w:rsidR="0080773C" w:rsidRPr="0080773C" w:rsidRDefault="0080773C" w:rsidP="006E5208">
                        <w:pPr>
                          <w:spacing w:after="0"/>
                          <w:ind w:firstLine="351"/>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2155" w:type="pct"/>
                        <w:shd w:val="clear" w:color="auto" w:fill="auto"/>
                        <w:vAlign w:val="center"/>
                      </w:tcPr>
                      <w:p w14:paraId="0156FEA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w:t>
                        </w:r>
                      </w:p>
                    </w:tc>
                    <w:tc>
                      <w:tcPr>
                        <w:tcW w:w="1249" w:type="pct"/>
                        <w:shd w:val="clear" w:color="auto" w:fill="auto"/>
                        <w:vAlign w:val="center"/>
                      </w:tcPr>
                      <w:p w14:paraId="0173420E"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w:t>
                        </w:r>
                      </w:p>
                    </w:tc>
                  </w:tr>
                </w:tbl>
                <w:p w14:paraId="1ACFA1D0" w14:textId="77777777" w:rsidR="0080773C" w:rsidRPr="0080773C" w:rsidRDefault="0080773C" w:rsidP="0080773C">
                  <w:pPr>
                    <w:spacing w:after="0"/>
                    <w:jc w:val="both"/>
                    <w:rPr>
                      <w:rFonts w:ascii="Times New Roman" w:hAnsi="Times New Roman" w:cs="Times New Roman"/>
                      <w:sz w:val="24"/>
                      <w:szCs w:val="24"/>
                      <w:lang w:val="en-US"/>
                    </w:rPr>
                  </w:pPr>
                  <w:proofErr w:type="spellStart"/>
                  <w:r w:rsidRPr="0080773C">
                    <w:rPr>
                      <w:rFonts w:ascii="Times New Roman" w:hAnsi="Times New Roman" w:cs="Times New Roman"/>
                      <w:sz w:val="24"/>
                      <w:szCs w:val="24"/>
                      <w:lang w:val="en-US"/>
                    </w:rPr>
                    <w:t>Разпределението</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източници</w:t>
                  </w:r>
                  <w:proofErr w:type="spellEnd"/>
                  <w:r w:rsidRPr="0080773C">
                    <w:rPr>
                      <w:rFonts w:ascii="Times New Roman" w:hAnsi="Times New Roman" w:cs="Times New Roman"/>
                      <w:sz w:val="24"/>
                      <w:szCs w:val="24"/>
                      <w:lang w:val="en-US"/>
                    </w:rPr>
                    <w:t xml:space="preserve"> на </w:t>
                  </w:r>
                  <w:proofErr w:type="spellStart"/>
                  <w:r w:rsidRPr="0080773C">
                    <w:rPr>
                      <w:rFonts w:ascii="Times New Roman" w:hAnsi="Times New Roman" w:cs="Times New Roman"/>
                      <w:sz w:val="24"/>
                      <w:szCs w:val="24"/>
                      <w:lang w:val="en-US"/>
                    </w:rPr>
                    <w:t>финансиране</w:t>
                  </w:r>
                  <w:proofErr w:type="spellEnd"/>
                  <w:r w:rsidRPr="0080773C">
                    <w:rPr>
                      <w:rFonts w:ascii="Times New Roman" w:hAnsi="Times New Roman" w:cs="Times New Roman"/>
                      <w:sz w:val="24"/>
                      <w:szCs w:val="24"/>
                      <w:lang w:val="en-US"/>
                    </w:rPr>
                    <w:t xml:space="preserve"> е </w:t>
                  </w:r>
                  <w:proofErr w:type="spellStart"/>
                  <w:r w:rsidRPr="0080773C">
                    <w:rPr>
                      <w:rFonts w:ascii="Times New Roman" w:hAnsi="Times New Roman" w:cs="Times New Roman"/>
                      <w:sz w:val="24"/>
                      <w:szCs w:val="24"/>
                      <w:lang w:val="en-US"/>
                    </w:rPr>
                    <w:t>както</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следва</w:t>
                  </w:r>
                  <w:proofErr w:type="spellEnd"/>
                  <w:r w:rsidRPr="0080773C">
                    <w:rPr>
                      <w:rFonts w:ascii="Times New Roman" w:hAnsi="Times New Roman" w:cs="Times New Roman"/>
                      <w:sz w:val="24"/>
                      <w:szCs w:val="24"/>
                      <w:lang w:val="en-US"/>
                    </w:rPr>
                    <w:t>:</w:t>
                  </w:r>
                </w:p>
                <w:tbl>
                  <w:tblPr>
                    <w:tblW w:w="0" w:type="auto"/>
                    <w:jc w:val="center"/>
                    <w:tblCellMar>
                      <w:left w:w="70" w:type="dxa"/>
                      <w:right w:w="70" w:type="dxa"/>
                    </w:tblCellMar>
                    <w:tblLook w:val="04A0" w:firstRow="1" w:lastRow="0" w:firstColumn="1" w:lastColumn="0" w:noHBand="0" w:noVBand="1"/>
                  </w:tblPr>
                  <w:tblGrid>
                    <w:gridCol w:w="2842"/>
                    <w:gridCol w:w="4262"/>
                    <w:gridCol w:w="2309"/>
                  </w:tblGrid>
                  <w:tr w:rsidR="0080773C" w:rsidRPr="0080773C" w14:paraId="256CF125" w14:textId="77777777" w:rsidTr="006E5208">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A7F7717"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7086E9D"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Европейския земеделски фонд за развитие на селските райони (</w:t>
                        </w:r>
                        <w:proofErr w:type="spellStart"/>
                        <w:r w:rsidRPr="0080773C">
                          <w:rPr>
                            <w:rFonts w:ascii="Times New Roman" w:hAnsi="Times New Roman" w:cs="Times New Roman"/>
                            <w:b/>
                            <w:bCs/>
                            <w:sz w:val="24"/>
                            <w:szCs w:val="24"/>
                          </w:rPr>
                          <w:t>ЕЗФРСР</w:t>
                        </w:r>
                        <w:proofErr w:type="spellEnd"/>
                        <w:r w:rsidRPr="0080773C">
                          <w:rPr>
                            <w:rFonts w:ascii="Times New Roman" w:hAnsi="Times New Roman" w:cs="Times New Roman"/>
                            <w:b/>
                            <w:bCs/>
                            <w:sz w:val="24"/>
                            <w:szCs w:val="24"/>
                          </w:rPr>
                          <w:t>)</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9888542"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 xml:space="preserve">Национално </w:t>
                        </w:r>
                        <w:proofErr w:type="spellStart"/>
                        <w:r w:rsidRPr="0080773C">
                          <w:rPr>
                            <w:rFonts w:ascii="Times New Roman" w:hAnsi="Times New Roman" w:cs="Times New Roman"/>
                            <w:b/>
                            <w:bCs/>
                            <w:sz w:val="24"/>
                            <w:szCs w:val="24"/>
                          </w:rPr>
                          <w:t>съфинансиране</w:t>
                        </w:r>
                        <w:proofErr w:type="spellEnd"/>
                      </w:p>
                    </w:tc>
                  </w:tr>
                  <w:tr w:rsidR="0080773C" w:rsidRPr="0080773C" w14:paraId="29265835"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F6BECCF"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sz w:val="24"/>
                            <w:szCs w:val="24"/>
                          </w:rPr>
                          <w:t>301 506 128,00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A68AF4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249 169 304,3</w:t>
                        </w:r>
                        <w:r w:rsidRPr="0080773C">
                          <w:rPr>
                            <w:rFonts w:ascii="Times New Roman" w:hAnsi="Times New Roman" w:cs="Times New Roman"/>
                            <w:sz w:val="24"/>
                            <w:szCs w:val="24"/>
                            <w:lang w:val="en-GB"/>
                          </w:rPr>
                          <w:t>2</w:t>
                        </w:r>
                        <w:r w:rsidRPr="0080773C">
                          <w:rPr>
                            <w:rFonts w:ascii="Times New Roman" w:hAnsi="Times New Roman" w:cs="Times New Roman"/>
                            <w:sz w:val="24"/>
                            <w:szCs w:val="24"/>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D18BD63"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52 336 823,68 лева</w:t>
                        </w:r>
                      </w:p>
                    </w:tc>
                  </w:tr>
                  <w:tr w:rsidR="0080773C" w:rsidRPr="0080773C" w14:paraId="4216F5ED"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F12A98B"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sz w:val="24"/>
                            <w:szCs w:val="24"/>
                          </w:rPr>
                          <w:t>154 160 000,00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9FF0D7E"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127 400 196,50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8B56600"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26 759 803,50 евро</w:t>
                        </w:r>
                      </w:p>
                    </w:tc>
                  </w:tr>
                  <w:tr w:rsidR="0080773C" w:rsidRPr="0080773C" w14:paraId="38CD3F99" w14:textId="77777777" w:rsidTr="006E5208">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55C78"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4B191320"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1BFFA0EC"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15 %</w:t>
                        </w:r>
                      </w:p>
                    </w:tc>
                  </w:tr>
                </w:tbl>
                <w:p w14:paraId="350D9D76" w14:textId="77777777" w:rsidR="0080773C" w:rsidRPr="0080773C" w:rsidRDefault="0080773C" w:rsidP="0080773C">
                  <w:pPr>
                    <w:spacing w:after="0"/>
                    <w:jc w:val="both"/>
                    <w:rPr>
                      <w:rFonts w:ascii="Times New Roman" w:hAnsi="Times New Roman" w:cs="Times New Roman"/>
                      <w:b/>
                      <w:sz w:val="24"/>
                      <w:szCs w:val="24"/>
                      <w:lang w:val="en-US"/>
                    </w:rPr>
                  </w:pPr>
                </w:p>
                <w:tbl>
                  <w:tblPr>
                    <w:tblW w:w="5000" w:type="pct"/>
                    <w:jc w:val="center"/>
                    <w:tblCellMar>
                      <w:left w:w="70" w:type="dxa"/>
                      <w:right w:w="70" w:type="dxa"/>
                    </w:tblCellMar>
                    <w:tblLook w:val="04A0" w:firstRow="1" w:lastRow="0" w:firstColumn="1" w:lastColumn="0" w:noHBand="0" w:noVBand="1"/>
                  </w:tblPr>
                  <w:tblGrid>
                    <w:gridCol w:w="2961"/>
                    <w:gridCol w:w="4112"/>
                    <w:gridCol w:w="2340"/>
                  </w:tblGrid>
                  <w:tr w:rsidR="0080773C" w:rsidRPr="0080773C" w14:paraId="18DC5A09" w14:textId="77777777" w:rsidTr="006E5208">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65E7947"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15F8896"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Средства от Инструмент на Европейския съюз за възстановяване (</w:t>
                        </w:r>
                        <w:proofErr w:type="spellStart"/>
                        <w:r w:rsidRPr="0080773C">
                          <w:rPr>
                            <w:rFonts w:ascii="Times New Roman" w:hAnsi="Times New Roman" w:cs="Times New Roman"/>
                            <w:b/>
                            <w:bCs/>
                            <w:sz w:val="24"/>
                            <w:szCs w:val="24"/>
                          </w:rPr>
                          <w:t>European</w:t>
                        </w:r>
                        <w:proofErr w:type="spellEnd"/>
                        <w:r w:rsidRPr="0080773C">
                          <w:rPr>
                            <w:rFonts w:ascii="Times New Roman" w:hAnsi="Times New Roman" w:cs="Times New Roman"/>
                            <w:b/>
                            <w:bCs/>
                            <w:sz w:val="24"/>
                            <w:szCs w:val="24"/>
                          </w:rPr>
                          <w:t xml:space="preserve"> </w:t>
                        </w:r>
                        <w:proofErr w:type="spellStart"/>
                        <w:r w:rsidRPr="0080773C">
                          <w:rPr>
                            <w:rFonts w:ascii="Times New Roman" w:hAnsi="Times New Roman" w:cs="Times New Roman"/>
                            <w:b/>
                            <w:bCs/>
                            <w:sz w:val="24"/>
                            <w:szCs w:val="24"/>
                          </w:rPr>
                          <w:t>Union</w:t>
                        </w:r>
                        <w:proofErr w:type="spellEnd"/>
                        <w:r w:rsidRPr="0080773C">
                          <w:rPr>
                            <w:rFonts w:ascii="Times New Roman" w:hAnsi="Times New Roman" w:cs="Times New Roman"/>
                            <w:b/>
                            <w:bCs/>
                            <w:sz w:val="24"/>
                            <w:szCs w:val="24"/>
                          </w:rPr>
                          <w:t xml:space="preserve"> </w:t>
                        </w:r>
                        <w:proofErr w:type="spellStart"/>
                        <w:r w:rsidRPr="0080773C">
                          <w:rPr>
                            <w:rFonts w:ascii="Times New Roman" w:hAnsi="Times New Roman" w:cs="Times New Roman"/>
                            <w:b/>
                            <w:bCs/>
                            <w:sz w:val="24"/>
                            <w:szCs w:val="24"/>
                          </w:rPr>
                          <w:t>Recovery</w:t>
                        </w:r>
                        <w:proofErr w:type="spellEnd"/>
                        <w:r w:rsidRPr="0080773C">
                          <w:rPr>
                            <w:rFonts w:ascii="Times New Roman" w:hAnsi="Times New Roman" w:cs="Times New Roman"/>
                            <w:b/>
                            <w:bCs/>
                            <w:sz w:val="24"/>
                            <w:szCs w:val="24"/>
                          </w:rPr>
                          <w:t xml:space="preserve"> </w:t>
                        </w:r>
                        <w:proofErr w:type="spellStart"/>
                        <w:r w:rsidRPr="0080773C">
                          <w:rPr>
                            <w:rFonts w:ascii="Times New Roman" w:hAnsi="Times New Roman" w:cs="Times New Roman"/>
                            <w:b/>
                            <w:bCs/>
                            <w:sz w:val="24"/>
                            <w:szCs w:val="24"/>
                          </w:rPr>
                          <w:t>Instrument</w:t>
                        </w:r>
                        <w:proofErr w:type="spellEnd"/>
                        <w:r w:rsidRPr="0080773C">
                          <w:rPr>
                            <w:rFonts w:ascii="Times New Roman" w:hAnsi="Times New Roman" w:cs="Times New Roman"/>
                            <w:b/>
                            <w:bCs/>
                            <w:sz w:val="24"/>
                            <w:szCs w:val="24"/>
                          </w:rPr>
                          <w:t xml:space="preserve"> – </w:t>
                        </w:r>
                        <w:proofErr w:type="spellStart"/>
                        <w:r w:rsidRPr="0080773C">
                          <w:rPr>
                            <w:rFonts w:ascii="Times New Roman" w:hAnsi="Times New Roman" w:cs="Times New Roman"/>
                            <w:b/>
                            <w:bCs/>
                            <w:sz w:val="24"/>
                            <w:szCs w:val="24"/>
                          </w:rPr>
                          <w:t>EURI</w:t>
                        </w:r>
                        <w:proofErr w:type="spellEnd"/>
                        <w:r w:rsidRPr="0080773C">
                          <w:rPr>
                            <w:rFonts w:ascii="Times New Roman" w:hAnsi="Times New Roman" w:cs="Times New Roman"/>
                            <w:b/>
                            <w:bCs/>
                            <w:sz w:val="24"/>
                            <w:szCs w:val="24"/>
                          </w:rPr>
                          <w:t>)</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907BCA1" w14:textId="77777777" w:rsidR="0080773C" w:rsidRPr="0080773C" w:rsidRDefault="0080773C" w:rsidP="006E5208">
                        <w:pPr>
                          <w:spacing w:after="0"/>
                          <w:jc w:val="center"/>
                          <w:rPr>
                            <w:rFonts w:ascii="Times New Roman" w:hAnsi="Times New Roman" w:cs="Times New Roman"/>
                            <w:b/>
                            <w:bCs/>
                            <w:sz w:val="24"/>
                            <w:szCs w:val="24"/>
                          </w:rPr>
                        </w:pPr>
                        <w:r w:rsidRPr="0080773C">
                          <w:rPr>
                            <w:rFonts w:ascii="Times New Roman" w:hAnsi="Times New Roman" w:cs="Times New Roman"/>
                            <w:b/>
                            <w:bCs/>
                            <w:sz w:val="24"/>
                            <w:szCs w:val="24"/>
                          </w:rPr>
                          <w:t xml:space="preserve">Национално </w:t>
                        </w:r>
                        <w:proofErr w:type="spellStart"/>
                        <w:r w:rsidRPr="0080773C">
                          <w:rPr>
                            <w:rFonts w:ascii="Times New Roman" w:hAnsi="Times New Roman" w:cs="Times New Roman"/>
                            <w:b/>
                            <w:bCs/>
                            <w:sz w:val="24"/>
                            <w:szCs w:val="24"/>
                          </w:rPr>
                          <w:t>съфинансиране</w:t>
                        </w:r>
                        <w:proofErr w:type="spellEnd"/>
                      </w:p>
                    </w:tc>
                  </w:tr>
                  <w:tr w:rsidR="0080773C" w:rsidRPr="0080773C" w14:paraId="3032C753"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876D42C" w14:textId="77777777" w:rsidR="0080773C" w:rsidRPr="0080773C" w:rsidRDefault="0080773C" w:rsidP="006E5208">
                        <w:pPr>
                          <w:spacing w:after="0"/>
                          <w:ind w:left="101"/>
                          <w:jc w:val="center"/>
                          <w:rPr>
                            <w:rFonts w:ascii="Times New Roman" w:hAnsi="Times New Roman" w:cs="Times New Roman"/>
                            <w:b/>
                            <w:bCs/>
                            <w:sz w:val="24"/>
                            <w:szCs w:val="24"/>
                          </w:rPr>
                        </w:pPr>
                        <w:r w:rsidRPr="0080773C">
                          <w:rPr>
                            <w:rFonts w:ascii="Times New Roman" w:hAnsi="Times New Roman" w:cs="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1B6921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340EA092"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0,00 лева</w:t>
                        </w:r>
                      </w:p>
                    </w:tc>
                  </w:tr>
                  <w:tr w:rsidR="0080773C" w:rsidRPr="0080773C" w14:paraId="128DF429"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7157D2B" w14:textId="77777777" w:rsidR="0080773C" w:rsidRPr="0080773C" w:rsidRDefault="0080773C" w:rsidP="006E5208">
                        <w:pPr>
                          <w:spacing w:after="0"/>
                          <w:ind w:firstLine="101"/>
                          <w:jc w:val="center"/>
                          <w:rPr>
                            <w:rFonts w:ascii="Times New Roman" w:hAnsi="Times New Roman" w:cs="Times New Roman"/>
                            <w:b/>
                            <w:bCs/>
                            <w:sz w:val="24"/>
                            <w:szCs w:val="24"/>
                          </w:rPr>
                        </w:pPr>
                        <w:r w:rsidRPr="0080773C">
                          <w:rPr>
                            <w:rFonts w:ascii="Times New Roman" w:hAnsi="Times New Roman" w:cs="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E6F8F11"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18D08513"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0,00 евро</w:t>
                        </w:r>
                      </w:p>
                    </w:tc>
                  </w:tr>
                  <w:tr w:rsidR="0080773C" w:rsidRPr="0080773C" w14:paraId="2DDAB1F0" w14:textId="77777777" w:rsidTr="006E5208">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ADC7C98"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7A4B9CC"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75789435" w14:textId="77777777" w:rsidR="0080773C" w:rsidRPr="0080773C" w:rsidRDefault="0080773C" w:rsidP="006E5208">
                        <w:pPr>
                          <w:spacing w:after="0"/>
                          <w:jc w:val="center"/>
                          <w:rPr>
                            <w:rFonts w:ascii="Times New Roman" w:hAnsi="Times New Roman" w:cs="Times New Roman"/>
                            <w:sz w:val="24"/>
                            <w:szCs w:val="24"/>
                          </w:rPr>
                        </w:pPr>
                        <w:r w:rsidRPr="0080773C">
                          <w:rPr>
                            <w:rFonts w:ascii="Times New Roman" w:hAnsi="Times New Roman" w:cs="Times New Roman"/>
                            <w:sz w:val="24"/>
                            <w:szCs w:val="24"/>
                          </w:rPr>
                          <w:t>0 %</w:t>
                        </w:r>
                      </w:p>
                    </w:tc>
                  </w:tr>
                </w:tbl>
                <w:p w14:paraId="3AE1F5E0" w14:textId="77777777" w:rsidR="0080773C" w:rsidRPr="0080773C" w:rsidRDefault="0080773C" w:rsidP="0080773C">
                  <w:pPr>
                    <w:spacing w:after="0"/>
                    <w:jc w:val="both"/>
                    <w:rPr>
                      <w:rFonts w:ascii="Times New Roman" w:hAnsi="Times New Roman" w:cs="Times New Roman"/>
                      <w:b/>
                      <w:sz w:val="24"/>
                      <w:szCs w:val="24"/>
                      <w:lang w:val="en-US"/>
                    </w:rPr>
                  </w:pPr>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Посоченият</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интензитет</w:t>
                  </w:r>
                  <w:proofErr w:type="spellEnd"/>
                  <w:r w:rsidRPr="0080773C">
                    <w:rPr>
                      <w:rFonts w:ascii="Times New Roman" w:hAnsi="Times New Roman" w:cs="Times New Roman"/>
                      <w:sz w:val="24"/>
                      <w:szCs w:val="24"/>
                      <w:lang w:val="en-US"/>
                    </w:rPr>
                    <w:t xml:space="preserve"> на </w:t>
                  </w:r>
                  <w:proofErr w:type="spellStart"/>
                  <w:r w:rsidRPr="0080773C">
                    <w:rPr>
                      <w:rFonts w:ascii="Times New Roman" w:hAnsi="Times New Roman" w:cs="Times New Roman"/>
                      <w:sz w:val="24"/>
                      <w:szCs w:val="24"/>
                      <w:lang w:val="en-US"/>
                    </w:rPr>
                    <w:t>средствата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от</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ЕЗФРСР</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са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индикативни</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тъй</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като</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подпомогнатите</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проектни</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предложения</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w:t>
                  </w:r>
                  <w:proofErr w:type="spellEnd"/>
                  <w:r w:rsidRPr="0080773C">
                    <w:rPr>
                      <w:rFonts w:ascii="Times New Roman" w:hAnsi="Times New Roman" w:cs="Times New Roman"/>
                      <w:sz w:val="24"/>
                      <w:szCs w:val="24"/>
                      <w:lang w:val="en-US"/>
                    </w:rPr>
                    <w:t xml:space="preserve"> подмярка 4.1 „</w:t>
                  </w:r>
                  <w:proofErr w:type="spellStart"/>
                  <w:r w:rsidRPr="0080773C">
                    <w:rPr>
                      <w:rFonts w:ascii="Times New Roman" w:hAnsi="Times New Roman" w:cs="Times New Roman"/>
                      <w:sz w:val="24"/>
                      <w:szCs w:val="24"/>
                      <w:lang w:val="en-US"/>
                    </w:rPr>
                    <w:t>Инвестиции</w:t>
                  </w:r>
                  <w:proofErr w:type="spellEnd"/>
                  <w:r w:rsidRPr="0080773C">
                    <w:rPr>
                      <w:rFonts w:ascii="Times New Roman" w:hAnsi="Times New Roman" w:cs="Times New Roman"/>
                      <w:sz w:val="24"/>
                      <w:szCs w:val="24"/>
                      <w:lang w:val="en-US"/>
                    </w:rPr>
                    <w:t xml:space="preserve"> в </w:t>
                  </w:r>
                  <w:proofErr w:type="spellStart"/>
                  <w:r w:rsidRPr="0080773C">
                    <w:rPr>
                      <w:rFonts w:ascii="Times New Roman" w:hAnsi="Times New Roman" w:cs="Times New Roman"/>
                      <w:sz w:val="24"/>
                      <w:szCs w:val="24"/>
                      <w:lang w:val="en-US"/>
                    </w:rPr>
                    <w:t>земеделски</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стопанства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допринасят</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за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постигане</w:t>
                  </w:r>
                  <w:proofErr w:type="spellEnd"/>
                  <w:r w:rsidRPr="0080773C">
                    <w:rPr>
                      <w:rFonts w:ascii="Times New Roman" w:hAnsi="Times New Roman" w:cs="Times New Roman"/>
                      <w:sz w:val="24"/>
                      <w:szCs w:val="24"/>
                      <w:lang w:val="en-US"/>
                    </w:rPr>
                    <w:t xml:space="preserve"> на </w:t>
                  </w:r>
                  <w:proofErr w:type="spellStart"/>
                  <w:r w:rsidRPr="0080773C">
                    <w:rPr>
                      <w:rFonts w:ascii="Times New Roman" w:hAnsi="Times New Roman" w:cs="Times New Roman"/>
                      <w:sz w:val="24"/>
                      <w:szCs w:val="24"/>
                      <w:lang w:val="en-US"/>
                    </w:rPr>
                    <w:t>три</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от</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приоритетите</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за</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развитие</w:t>
                  </w:r>
                  <w:proofErr w:type="spellEnd"/>
                  <w:r w:rsidRPr="0080773C">
                    <w:rPr>
                      <w:rFonts w:ascii="Times New Roman" w:hAnsi="Times New Roman" w:cs="Times New Roman"/>
                      <w:sz w:val="24"/>
                      <w:szCs w:val="24"/>
                      <w:lang w:val="en-US"/>
                    </w:rPr>
                    <w:t xml:space="preserve"> на </w:t>
                  </w:r>
                  <w:proofErr w:type="spellStart"/>
                  <w:r w:rsidRPr="0080773C">
                    <w:rPr>
                      <w:rFonts w:ascii="Times New Roman" w:hAnsi="Times New Roman" w:cs="Times New Roman"/>
                      <w:sz w:val="24"/>
                      <w:szCs w:val="24"/>
                      <w:lang w:val="en-US"/>
                    </w:rPr>
                    <w:t>селските</w:t>
                  </w:r>
                  <w:proofErr w:type="spellEnd"/>
                  <w:r w:rsidRPr="0080773C">
                    <w:rPr>
                      <w:rFonts w:ascii="Times New Roman" w:hAnsi="Times New Roman" w:cs="Times New Roman"/>
                      <w:sz w:val="24"/>
                      <w:szCs w:val="24"/>
                      <w:lang w:val="en-US"/>
                    </w:rPr>
                    <w:t xml:space="preserve"> </w:t>
                  </w:r>
                  <w:proofErr w:type="spellStart"/>
                  <w:r w:rsidRPr="0080773C">
                    <w:rPr>
                      <w:rFonts w:ascii="Times New Roman" w:hAnsi="Times New Roman" w:cs="Times New Roman"/>
                      <w:sz w:val="24"/>
                      <w:szCs w:val="24"/>
                      <w:lang w:val="en-US"/>
                    </w:rPr>
                    <w:t>райони</w:t>
                  </w:r>
                  <w:proofErr w:type="spellEnd"/>
                  <w:r w:rsidRPr="0080773C">
                    <w:rPr>
                      <w:rFonts w:ascii="Times New Roman" w:hAnsi="Times New Roman" w:cs="Times New Roman"/>
                      <w:sz w:val="24"/>
                      <w:szCs w:val="24"/>
                      <w:lang w:val="en-US"/>
                    </w:rPr>
                    <w:t>.</w:t>
                  </w: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8" w:name="_Toc69388898"/>
      <w:r w:rsidRPr="008902B2">
        <w:rPr>
          <w:rFonts w:cs="Times New Roman"/>
        </w:rPr>
        <w:lastRenderedPageBreak/>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8"/>
    </w:p>
    <w:tbl>
      <w:tblPr>
        <w:tblStyle w:val="TableGrid"/>
        <w:tblW w:w="5000" w:type="pct"/>
        <w:tblLook w:val="04A0" w:firstRow="1" w:lastRow="0" w:firstColumn="1" w:lastColumn="0" w:noHBand="0" w:noVBand="1"/>
      </w:tblPr>
      <w:tblGrid>
        <w:gridCol w:w="9855"/>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w:t>
            </w:r>
            <w:r w:rsidRPr="002A4893">
              <w:rPr>
                <w:rFonts w:ascii="Times New Roman" w:hAnsi="Times New Roman" w:cs="Times New Roman"/>
                <w:b/>
                <w:color w:val="000000" w:themeColor="text1"/>
                <w:sz w:val="24"/>
                <w:szCs w:val="24"/>
              </w:rPr>
              <w:lastRenderedPageBreak/>
              <w:t xml:space="preserve">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9" w:name="_Toc69388899"/>
      <w:r w:rsidRPr="008902B2">
        <w:rPr>
          <w:rFonts w:cs="Times New Roman"/>
        </w:rPr>
        <w:lastRenderedPageBreak/>
        <w:t xml:space="preserve">10. Процент на </w:t>
      </w:r>
      <w:proofErr w:type="spellStart"/>
      <w:r w:rsidRPr="008902B2">
        <w:rPr>
          <w:rFonts w:cs="Times New Roman"/>
        </w:rPr>
        <w:t>съфинансиране</w:t>
      </w:r>
      <w:proofErr w:type="spellEnd"/>
      <w:r w:rsidRPr="008902B2">
        <w:rPr>
          <w:rFonts w:cs="Times New Roman"/>
        </w:rPr>
        <w:t>:</w:t>
      </w:r>
      <w:bookmarkEnd w:id="9"/>
    </w:p>
    <w:tbl>
      <w:tblPr>
        <w:tblStyle w:val="TableGrid"/>
        <w:tblW w:w="5000" w:type="pct"/>
        <w:tblLook w:val="04A0" w:firstRow="1" w:lastRow="0" w:firstColumn="1" w:lastColumn="0" w:noHBand="0" w:noVBand="1"/>
      </w:tblPr>
      <w:tblGrid>
        <w:gridCol w:w="9855"/>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w:t>
            </w:r>
            <w:proofErr w:type="spellStart"/>
            <w:r w:rsidR="00EA117F" w:rsidRPr="002A4893">
              <w:rPr>
                <w:rFonts w:ascii="Times New Roman" w:hAnsi="Times New Roman" w:cs="Times New Roman"/>
                <w:sz w:val="24"/>
                <w:szCs w:val="24"/>
              </w:rPr>
              <w:t>1</w:t>
            </w:r>
            <w:proofErr w:type="spellEnd"/>
            <w:r w:rsidR="00EA117F" w:rsidRPr="002A4893">
              <w:rPr>
                <w:rFonts w:ascii="Times New Roman" w:hAnsi="Times New Roman" w:cs="Times New Roman"/>
                <w:sz w:val="24"/>
                <w:szCs w:val="24"/>
              </w:rPr>
              <w:t>.</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w:t>
            </w:r>
            <w:proofErr w:type="spellStart"/>
            <w:r w:rsidR="00EA117F" w:rsidRPr="002A4893">
              <w:rPr>
                <w:rFonts w:ascii="Times New Roman" w:hAnsi="Times New Roman" w:cs="Times New Roman"/>
                <w:sz w:val="24"/>
                <w:szCs w:val="24"/>
              </w:rPr>
              <w:t>1</w:t>
            </w:r>
            <w:proofErr w:type="spellEnd"/>
            <w:r w:rsidR="00EA117F" w:rsidRPr="002A4893">
              <w:rPr>
                <w:rFonts w:ascii="Times New Roman" w:hAnsi="Times New Roman" w:cs="Times New Roman"/>
                <w:sz w:val="24"/>
                <w:szCs w:val="24"/>
              </w:rPr>
              <w:t xml:space="preserve">.1.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 xml:space="preserve">посочват това обстоятелство в електронния формуляр за кандидатстване в </w:t>
            </w:r>
            <w:proofErr w:type="spellStart"/>
            <w:r w:rsidR="008F2E1F" w:rsidRPr="002A4893">
              <w:rPr>
                <w:rFonts w:ascii="Times New Roman" w:hAnsi="Times New Roman" w:cs="Times New Roman"/>
                <w:b/>
                <w:sz w:val="24"/>
                <w:szCs w:val="24"/>
              </w:rPr>
              <w:t>ИСУН</w:t>
            </w:r>
            <w:proofErr w:type="spellEnd"/>
            <w:r w:rsidR="008F2E1F" w:rsidRPr="002A4893">
              <w:rPr>
                <w:rFonts w:ascii="Times New Roman" w:hAnsi="Times New Roman" w:cs="Times New Roman"/>
                <w:b/>
                <w:sz w:val="24"/>
                <w:szCs w:val="24"/>
              </w:rPr>
              <w:t xml:space="preserve">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Закон за управление на средствата от 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w:t>
            </w:r>
            <w:r w:rsidR="00AE56B8" w:rsidRPr="002A4893">
              <w:rPr>
                <w:rFonts w:ascii="Times New Roman" w:hAnsi="Times New Roman" w:cs="Times New Roman"/>
                <w:b/>
                <w:color w:val="000000" w:themeColor="text1"/>
                <w:sz w:val="24"/>
                <w:szCs w:val="24"/>
              </w:rPr>
              <w:lastRenderedPageBreak/>
              <w:t xml:space="preserve">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xml:space="preserve">, с изключение на сменяема </w:t>
            </w:r>
            <w:proofErr w:type="spellStart"/>
            <w:r w:rsidR="001F5D9E" w:rsidRPr="002A4893">
              <w:rPr>
                <w:rFonts w:ascii="Times New Roman" w:hAnsi="Times New Roman" w:cs="Times New Roman"/>
                <w:b/>
                <w:color w:val="000000" w:themeColor="text1"/>
                <w:sz w:val="24"/>
                <w:szCs w:val="24"/>
              </w:rPr>
              <w:t>прикачна</w:t>
            </w:r>
            <w:proofErr w:type="spellEnd"/>
            <w:r w:rsidR="001F5D9E" w:rsidRPr="002A4893">
              <w:rPr>
                <w:rFonts w:ascii="Times New Roman" w:hAnsi="Times New Roman" w:cs="Times New Roman"/>
                <w:b/>
                <w:color w:val="000000" w:themeColor="text1"/>
                <w:sz w:val="24"/>
                <w:szCs w:val="24"/>
              </w:rPr>
              <w:t xml:space="preserve">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w:t>
            </w:r>
            <w:proofErr w:type="spellStart"/>
            <w:r w:rsidR="00673B32" w:rsidRPr="002A4893">
              <w:rPr>
                <w:rFonts w:ascii="Times New Roman" w:eastAsia="Times New Roman" w:hAnsi="Times New Roman" w:cs="Times New Roman"/>
                <w:b/>
                <w:bCs/>
                <w:sz w:val="24"/>
                <w:szCs w:val="24"/>
                <w:lang w:eastAsia="bg-BG"/>
              </w:rPr>
              <w:t>ЕЗФРСР</w:t>
            </w:r>
            <w:proofErr w:type="spellEnd"/>
            <w:r w:rsidR="00673B32" w:rsidRPr="002A4893">
              <w:rPr>
                <w:rFonts w:ascii="Times New Roman" w:eastAsia="Times New Roman" w:hAnsi="Times New Roman" w:cs="Times New Roman"/>
                <w:b/>
                <w:bCs/>
                <w:sz w:val="24"/>
                <w:szCs w:val="24"/>
                <w:lang w:eastAsia="bg-BG"/>
              </w:rPr>
              <w:t xml:space="preserve"> </w:t>
            </w:r>
            <w:r w:rsidR="001F5D9E" w:rsidRPr="002A4893">
              <w:rPr>
                <w:rFonts w:ascii="Times New Roman" w:eastAsia="Times New Roman" w:hAnsi="Times New Roman" w:cs="Times New Roman"/>
                <w:b/>
                <w:bCs/>
                <w:sz w:val="24"/>
                <w:szCs w:val="24"/>
                <w:lang w:eastAsia="bg-BG"/>
              </w:rPr>
              <w:t>до размера на финансовата помощ по т. 1.</w:t>
            </w:r>
            <w:proofErr w:type="spellStart"/>
            <w:r w:rsidR="001F5D9E" w:rsidRPr="002A4893">
              <w:rPr>
                <w:rFonts w:ascii="Times New Roman" w:eastAsia="Times New Roman" w:hAnsi="Times New Roman" w:cs="Times New Roman"/>
                <w:b/>
                <w:bCs/>
                <w:sz w:val="24"/>
                <w:szCs w:val="24"/>
                <w:lang w:eastAsia="bg-BG"/>
              </w:rPr>
              <w:t>1</w:t>
            </w:r>
            <w:proofErr w:type="spellEnd"/>
            <w:r w:rsidR="001F5D9E" w:rsidRPr="002A4893">
              <w:rPr>
                <w:rFonts w:ascii="Times New Roman" w:eastAsia="Times New Roman" w:hAnsi="Times New Roman" w:cs="Times New Roman"/>
                <w:b/>
                <w:bCs/>
                <w:sz w:val="24"/>
                <w:szCs w:val="24"/>
                <w:lang w:eastAsia="bg-BG"/>
              </w:rPr>
              <w:t xml:space="preserve">.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0" w:name="_Toc69388900"/>
      <w:r w:rsidRPr="008902B2">
        <w:rPr>
          <w:rFonts w:cs="Times New Roman"/>
        </w:rPr>
        <w:lastRenderedPageBreak/>
        <w:t>11. Допустими кандидати:</w:t>
      </w:r>
      <w:bookmarkEnd w:id="10"/>
    </w:p>
    <w:p w14:paraId="042070A9" w14:textId="4F617B88" w:rsidR="007F4BFA" w:rsidRPr="008979DA" w:rsidRDefault="002F1BCB">
      <w:pPr>
        <w:pStyle w:val="Heading2"/>
        <w:spacing w:before="0"/>
        <w:jc w:val="both"/>
        <w:rPr>
          <w:rFonts w:cs="Times New Roman"/>
          <w:color w:val="auto"/>
        </w:rPr>
      </w:pPr>
      <w:bookmarkStart w:id="11"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1"/>
    </w:p>
    <w:tbl>
      <w:tblPr>
        <w:tblStyle w:val="TableGrid"/>
        <w:tblW w:w="5000" w:type="pct"/>
        <w:tblLook w:val="04A0" w:firstRow="1" w:lastRow="0" w:firstColumn="1" w:lastColumn="0" w:noHBand="0" w:noVBand="1"/>
      </w:tblPr>
      <w:tblGrid>
        <w:gridCol w:w="9855"/>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аа</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бб</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w:t>
            </w:r>
            <w:r w:rsidR="00E76799" w:rsidRPr="002A4893">
              <w:rPr>
                <w:rFonts w:ascii="Times New Roman" w:hAnsi="Times New Roman" w:cs="Times New Roman"/>
                <w:sz w:val="24"/>
                <w:szCs w:val="24"/>
              </w:rPr>
              <w:lastRenderedPageBreak/>
              <w:t xml:space="preserve">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„б“</w:t>
            </w:r>
            <w:r w:rsidR="002F1BCB" w:rsidRPr="002A4893">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w:t>
            </w:r>
            <w:proofErr w:type="spellStart"/>
            <w:r w:rsidR="00305B2E" w:rsidRPr="002A4893">
              <w:rPr>
                <w:rFonts w:ascii="Times New Roman" w:hAnsi="Times New Roman" w:cs="Times New Roman"/>
                <w:b/>
                <w:sz w:val="24"/>
                <w:szCs w:val="24"/>
              </w:rPr>
              <w:t>ЗВД</w:t>
            </w:r>
            <w:proofErr w:type="spellEnd"/>
            <w:r w:rsidR="00305B2E" w:rsidRPr="002A4893">
              <w:rPr>
                <w:rFonts w:ascii="Times New Roman" w:hAnsi="Times New Roman" w:cs="Times New Roman"/>
                <w:b/>
                <w:sz w:val="24"/>
                <w:szCs w:val="24"/>
              </w:rPr>
              <w:t>)</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w:t>
            </w:r>
            <w:r w:rsidR="006557FE" w:rsidRPr="002A4893">
              <w:rPr>
                <w:rFonts w:ascii="Times New Roman" w:hAnsi="Times New Roman" w:cs="Times New Roman"/>
                <w:b/>
                <w:sz w:val="24"/>
                <w:szCs w:val="24"/>
              </w:rPr>
              <w:lastRenderedPageBreak/>
              <w:t xml:space="preserve">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2" w:name="_Toc69388902"/>
      <w:r w:rsidRPr="008902B2">
        <w:rPr>
          <w:rFonts w:cs="Times New Roman"/>
          <w:color w:val="auto"/>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855"/>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w:t>
            </w:r>
            <w:proofErr w:type="spellStart"/>
            <w:r w:rsidR="007C31EC" w:rsidRPr="002A4893">
              <w:rPr>
                <w:rFonts w:ascii="Times New Roman" w:hAnsi="Times New Roman" w:cs="Times New Roman"/>
                <w:sz w:val="24"/>
                <w:szCs w:val="24"/>
              </w:rPr>
              <w:t>БФП</w:t>
            </w:r>
            <w:proofErr w:type="spellEnd"/>
            <w:r w:rsidR="007C31EC" w:rsidRPr="002A4893">
              <w:rPr>
                <w:rFonts w:ascii="Times New Roman" w:hAnsi="Times New Roman" w:cs="Times New Roman"/>
                <w:sz w:val="24"/>
                <w:szCs w:val="24"/>
              </w:rPr>
              <w:t>)</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w:t>
            </w:r>
            <w:proofErr w:type="spellStart"/>
            <w:r w:rsidR="004029D1" w:rsidRPr="002A4893">
              <w:rPr>
                <w:rFonts w:ascii="Times New Roman" w:hAnsi="Times New Roman" w:cs="Times New Roman"/>
                <w:sz w:val="24"/>
                <w:szCs w:val="24"/>
              </w:rPr>
              <w:t>УО</w:t>
            </w:r>
            <w:proofErr w:type="spellEnd"/>
            <w:r w:rsidR="004029D1" w:rsidRPr="002A4893">
              <w:rPr>
                <w:rFonts w:ascii="Times New Roman" w:hAnsi="Times New Roman" w:cs="Times New Roman"/>
                <w:sz w:val="24"/>
                <w:szCs w:val="24"/>
              </w:rPr>
              <w:t>)</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A4893">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 xml:space="preserve">които представляват кандидата съгласно регистъра, в който е вписан кандидатът, ако има такъв, или документите, удостоверяващи </w:t>
            </w:r>
            <w:proofErr w:type="spellStart"/>
            <w:r w:rsidR="0077202A" w:rsidRPr="002A4893">
              <w:rPr>
                <w:rFonts w:ascii="Times New Roman" w:hAnsi="Times New Roman" w:cs="Times New Roman"/>
                <w:sz w:val="24"/>
                <w:szCs w:val="24"/>
              </w:rPr>
              <w:t>правосубектността</w:t>
            </w:r>
            <w:proofErr w:type="spellEnd"/>
            <w:r w:rsidR="0077202A" w:rsidRPr="002A4893">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77202A" w:rsidRPr="002A4893">
              <w:rPr>
                <w:rFonts w:ascii="Times New Roman" w:hAnsi="Times New Roman" w:cs="Times New Roman"/>
                <w:sz w:val="24"/>
                <w:szCs w:val="24"/>
              </w:rPr>
              <w:t>правосубектността</w:t>
            </w:r>
            <w:proofErr w:type="spellEnd"/>
            <w:r w:rsidR="0077202A" w:rsidRPr="002A4893">
              <w:rPr>
                <w:rFonts w:ascii="Times New Roman" w:hAnsi="Times New Roman" w:cs="Times New Roman"/>
                <w:sz w:val="24"/>
                <w:szCs w:val="24"/>
              </w:rPr>
              <w:t xml:space="preserve">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A4893">
              <w:rPr>
                <w:rFonts w:ascii="Times New Roman" w:hAnsi="Times New Roman" w:cs="Times New Roman"/>
                <w:sz w:val="24"/>
                <w:szCs w:val="24"/>
              </w:rPr>
              <w:t>социалноосигурителни</w:t>
            </w:r>
            <w:proofErr w:type="spellEnd"/>
            <w:r w:rsidRPr="002A4893">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proofErr w:type="spellStart"/>
            <w:r w:rsidR="007C31EC" w:rsidRPr="002A4893">
              <w:rPr>
                <w:rFonts w:ascii="Times New Roman" w:hAnsi="Times New Roman" w:cs="Times New Roman"/>
                <w:sz w:val="24"/>
                <w:szCs w:val="24"/>
              </w:rPr>
              <w:t>БФП</w:t>
            </w:r>
            <w:proofErr w:type="spellEnd"/>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 xml:space="preserve">на подмярката по </w:t>
            </w:r>
            <w:proofErr w:type="spellStart"/>
            <w:r w:rsidRPr="002A4893">
              <w:rPr>
                <w:rFonts w:ascii="Times New Roman" w:hAnsi="Times New Roman" w:cs="Times New Roman"/>
                <w:sz w:val="24"/>
                <w:szCs w:val="24"/>
              </w:rPr>
              <w:t>ПРСР</w:t>
            </w:r>
            <w:proofErr w:type="spellEnd"/>
            <w:r w:rsidRPr="002A4893">
              <w:rPr>
                <w:rFonts w:ascii="Times New Roman" w:hAnsi="Times New Roman" w:cs="Times New Roman"/>
                <w:sz w:val="24"/>
                <w:szCs w:val="24"/>
              </w:rPr>
              <w:t xml:space="preserve">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3" w:name="_Toc69388903"/>
      <w:r w:rsidRPr="008902B2">
        <w:rPr>
          <w:rFonts w:cs="Times New Roman"/>
        </w:rPr>
        <w:lastRenderedPageBreak/>
        <w:t>12. Допустими партньори:</w:t>
      </w:r>
      <w:bookmarkEnd w:id="13"/>
    </w:p>
    <w:tbl>
      <w:tblPr>
        <w:tblStyle w:val="TableGrid"/>
        <w:tblW w:w="5000" w:type="pct"/>
        <w:tblLook w:val="04A0" w:firstRow="1" w:lastRow="0" w:firstColumn="1" w:lastColumn="0" w:noHBand="0" w:noVBand="1"/>
      </w:tblPr>
      <w:tblGrid>
        <w:gridCol w:w="9855"/>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4" w:name="_Toc69388904"/>
      <w:r w:rsidRPr="008902B2">
        <w:rPr>
          <w:rFonts w:cs="Times New Roman"/>
        </w:rPr>
        <w:t>13. Дейности, допустими за финансиране:</w:t>
      </w:r>
      <w:bookmarkEnd w:id="14"/>
    </w:p>
    <w:p w14:paraId="65C375FD" w14:textId="0027B44F" w:rsidR="007F4BFA" w:rsidRPr="00B83087" w:rsidRDefault="002F1BCB">
      <w:pPr>
        <w:pStyle w:val="Heading2"/>
        <w:spacing w:before="0"/>
        <w:jc w:val="both"/>
        <w:rPr>
          <w:rFonts w:cs="Times New Roman"/>
          <w:color w:val="auto"/>
        </w:rPr>
      </w:pPr>
      <w:bookmarkStart w:id="15" w:name="_Toc69388905"/>
      <w:r w:rsidRPr="008979DA">
        <w:rPr>
          <w:rFonts w:cs="Times New Roman"/>
          <w:color w:val="auto"/>
        </w:rPr>
        <w:t>13.1: Допустими дейности:</w:t>
      </w:r>
      <w:bookmarkEnd w:id="15"/>
    </w:p>
    <w:tbl>
      <w:tblPr>
        <w:tblStyle w:val="TableGrid"/>
        <w:tblW w:w="5000" w:type="pct"/>
        <w:tblLook w:val="04A0" w:firstRow="1" w:lastRow="0" w:firstColumn="1" w:lastColumn="0" w:noHBand="0" w:noVBand="1"/>
      </w:tblPr>
      <w:tblGrid>
        <w:gridCol w:w="9855"/>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r w:rsidR="00B82869" w:rsidRPr="002A4893">
              <w:rPr>
                <w:rFonts w:ascii="Times New Roman" w:hAnsi="Times New Roman" w:cs="Times New Roman"/>
                <w:sz w:val="24"/>
                <w:szCs w:val="24"/>
              </w:rPr>
              <w:t xml:space="preserve">подмярка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w:t>
            </w:r>
            <w:proofErr w:type="spellStart"/>
            <w:r w:rsidRPr="002A4893">
              <w:rPr>
                <w:rFonts w:ascii="Times New Roman" w:hAnsi="Times New Roman" w:cs="Times New Roman"/>
                <w:sz w:val="24"/>
                <w:szCs w:val="24"/>
              </w:rPr>
              <w:t>ПРСР</w:t>
            </w:r>
            <w:proofErr w:type="spellEnd"/>
            <w:r w:rsidRPr="002A4893">
              <w:rPr>
                <w:rFonts w:ascii="Times New Roman" w:hAnsi="Times New Roman" w:cs="Times New Roman"/>
                <w:sz w:val="24"/>
                <w:szCs w:val="24"/>
              </w:rPr>
              <w:t xml:space="preserve">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w:t>
            </w:r>
            <w:proofErr w:type="spellStart"/>
            <w:r w:rsidRPr="002A4893">
              <w:rPr>
                <w:rFonts w:ascii="Times New Roman" w:hAnsi="Times New Roman" w:cs="Times New Roman"/>
                <w:sz w:val="24"/>
                <w:szCs w:val="24"/>
              </w:rPr>
              <w:t>преработвателите</w:t>
            </w:r>
            <w:proofErr w:type="spellEnd"/>
            <w:r w:rsidRPr="002A4893">
              <w:rPr>
                <w:rFonts w:ascii="Times New Roman" w:hAnsi="Times New Roman" w:cs="Times New Roman"/>
                <w:sz w:val="24"/>
                <w:szCs w:val="24"/>
              </w:rPr>
              <w:t xml:space="preserve">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proofErr w:type="spellStart"/>
            <w:r w:rsidR="00F95ABC" w:rsidRPr="002A4893">
              <w:rPr>
                <w:rFonts w:ascii="Times New Roman" w:hAnsi="Times New Roman" w:cs="Times New Roman"/>
                <w:sz w:val="24"/>
                <w:szCs w:val="24"/>
              </w:rPr>
              <w:t>ВЕИ</w:t>
            </w:r>
            <w:proofErr w:type="spellEnd"/>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w:t>
            </w:r>
            <w:proofErr w:type="spellStart"/>
            <w:r w:rsidR="00B03F5E" w:rsidRPr="002A4893">
              <w:rPr>
                <w:rFonts w:ascii="Times New Roman" w:hAnsi="Times New Roman" w:cs="Times New Roman"/>
                <w:sz w:val="24"/>
                <w:szCs w:val="24"/>
              </w:rPr>
              <w:t>фитосанитарните</w:t>
            </w:r>
            <w:proofErr w:type="spellEnd"/>
            <w:r w:rsidR="00B03F5E" w:rsidRPr="002A4893">
              <w:rPr>
                <w:rFonts w:ascii="Times New Roman" w:hAnsi="Times New Roman" w:cs="Times New Roman"/>
                <w:sz w:val="24"/>
                <w:szCs w:val="24"/>
              </w:rPr>
              <w:t xml:space="preserve">,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6" w:name="_Toc69388906"/>
      <w:r w:rsidRPr="008902B2">
        <w:rPr>
          <w:rFonts w:cs="Times New Roman"/>
          <w:color w:val="auto"/>
        </w:rPr>
        <w:lastRenderedPageBreak/>
        <w:t>1</w:t>
      </w:r>
      <w:r w:rsidRPr="0060217B">
        <w:rPr>
          <w:rFonts w:cs="Times New Roman"/>
          <w:color w:val="auto"/>
        </w:rPr>
        <w:t>3.2: Условия за допустимост на дейностите:</w:t>
      </w:r>
      <w:bookmarkEnd w:id="16"/>
    </w:p>
    <w:tbl>
      <w:tblPr>
        <w:tblStyle w:val="TableGrid"/>
        <w:tblW w:w="5000" w:type="pct"/>
        <w:tblLook w:val="04A0" w:firstRow="1" w:lastRow="0" w:firstColumn="1" w:lastColumn="0" w:noHBand="0" w:noVBand="1"/>
      </w:tblPr>
      <w:tblGrid>
        <w:gridCol w:w="9855"/>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w:t>
            </w:r>
            <w:proofErr w:type="spellStart"/>
            <w:r w:rsidR="00277A2D" w:rsidRPr="002A4893">
              <w:rPr>
                <w:rFonts w:ascii="Times New Roman" w:hAnsi="Times New Roman" w:cs="Times New Roman"/>
                <w:sz w:val="24"/>
                <w:szCs w:val="24"/>
              </w:rPr>
              <w:t>ЗВ</w:t>
            </w:r>
            <w:proofErr w:type="spellEnd"/>
            <w:r w:rsidR="00277A2D" w:rsidRPr="002A4893">
              <w:rPr>
                <w:rFonts w:ascii="Times New Roman" w:hAnsi="Times New Roman" w:cs="Times New Roman"/>
                <w:sz w:val="24"/>
                <w:szCs w:val="24"/>
              </w:rPr>
              <w:t>)</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w:t>
            </w:r>
            <w:proofErr w:type="spellStart"/>
            <w:r w:rsidR="002255A5" w:rsidRPr="002A4893">
              <w:rPr>
                <w:rFonts w:ascii="Times New Roman" w:hAnsi="Times New Roman" w:cs="Times New Roman"/>
                <w:sz w:val="24"/>
                <w:szCs w:val="24"/>
              </w:rPr>
              <w:t>аквакултури</w:t>
            </w:r>
            <w:proofErr w:type="spellEnd"/>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proofErr w:type="spellStart"/>
            <w:r w:rsidR="00296009" w:rsidRPr="002A4893">
              <w:rPr>
                <w:rFonts w:ascii="Times New Roman" w:hAnsi="Times New Roman" w:cs="Times New Roman"/>
                <w:sz w:val="24"/>
                <w:szCs w:val="24"/>
              </w:rPr>
              <w:t>ДФЕС</w:t>
            </w:r>
            <w:proofErr w:type="spellEnd"/>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w:t>
            </w:r>
            <w:proofErr w:type="spellStart"/>
            <w:r w:rsidR="00832DC0" w:rsidRPr="002A4893">
              <w:rPr>
                <w:rFonts w:ascii="Times New Roman" w:hAnsi="Times New Roman" w:cs="Times New Roman"/>
                <w:sz w:val="24"/>
                <w:szCs w:val="24"/>
              </w:rPr>
              <w:t>СМР</w:t>
            </w:r>
            <w:proofErr w:type="spellEnd"/>
            <w:r w:rsidR="00832DC0" w:rsidRPr="002A4893">
              <w:rPr>
                <w:rFonts w:ascii="Times New Roman" w:hAnsi="Times New Roman" w:cs="Times New Roman"/>
                <w:sz w:val="24"/>
                <w:szCs w:val="24"/>
              </w:rPr>
              <w:t>)</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за 10-годишен 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A4893">
              <w:rPr>
                <w:rFonts w:ascii="Times New Roman" w:hAnsi="Times New Roman" w:cs="Times New Roman"/>
                <w:sz w:val="24"/>
                <w:szCs w:val="24"/>
              </w:rPr>
              <w:t>микро-</w:t>
            </w:r>
            <w:proofErr w:type="spellEnd"/>
            <w:r w:rsidR="00C65AD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w:t>
            </w:r>
            <w:proofErr w:type="spellStart"/>
            <w:r w:rsidR="00DF196F" w:rsidRPr="002A4893">
              <w:rPr>
                <w:rFonts w:ascii="Times New Roman" w:hAnsi="Times New Roman" w:cs="Times New Roman"/>
                <w:sz w:val="24"/>
                <w:szCs w:val="24"/>
              </w:rPr>
              <w:t>моточаса</w:t>
            </w:r>
            <w:proofErr w:type="spellEnd"/>
            <w:r w:rsidR="00DF196F" w:rsidRPr="002A4893">
              <w:rPr>
                <w:rFonts w:ascii="Times New Roman" w:hAnsi="Times New Roman" w:cs="Times New Roman"/>
                <w:sz w:val="24"/>
                <w:szCs w:val="24"/>
              </w:rPr>
              <w:t>,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 xml:space="preserve">например </w:t>
            </w:r>
            <w:r w:rsidR="003272EC" w:rsidRPr="002A4893">
              <w:rPr>
                <w:rFonts w:ascii="Times New Roman" w:hAnsi="Times New Roman" w:cs="Times New Roman"/>
                <w:sz w:val="24"/>
                <w:szCs w:val="24"/>
              </w:rPr>
              <w:lastRenderedPageBreak/>
              <w:t>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w:t>
            </w:r>
            <w:proofErr w:type="spellStart"/>
            <w:r w:rsidR="007A5F64" w:rsidRPr="002A4893">
              <w:rPr>
                <w:rFonts w:ascii="Times New Roman" w:hAnsi="Times New Roman" w:cs="Times New Roman"/>
                <w:sz w:val="24"/>
                <w:szCs w:val="24"/>
              </w:rPr>
              <w:t>гъбарници</w:t>
            </w:r>
            <w:proofErr w:type="spellEnd"/>
            <w:r w:rsidR="007A5F64" w:rsidRPr="002A4893">
              <w:rPr>
                <w:rFonts w:ascii="Times New Roman" w:hAnsi="Times New Roman" w:cs="Times New Roman"/>
                <w:sz w:val="24"/>
                <w:szCs w:val="24"/>
              </w:rPr>
              <w:t xml:space="preserve">,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proofErr w:type="spellStart"/>
            <w:r w:rsidR="004029D1" w:rsidRPr="002A4893">
              <w:rPr>
                <w:rFonts w:ascii="Times New Roman" w:hAnsi="Times New Roman" w:cs="Times New Roman"/>
                <w:sz w:val="24"/>
                <w:szCs w:val="24"/>
              </w:rPr>
              <w:t>СМР</w:t>
            </w:r>
            <w:proofErr w:type="spellEnd"/>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proofErr w:type="spellStart"/>
            <w:r w:rsidR="004029D1" w:rsidRPr="002A4893">
              <w:rPr>
                <w:rFonts w:ascii="Times New Roman" w:hAnsi="Times New Roman" w:cs="Times New Roman"/>
                <w:sz w:val="24"/>
                <w:szCs w:val="24"/>
              </w:rPr>
              <w:t>СМР</w:t>
            </w:r>
            <w:proofErr w:type="spellEnd"/>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създаване и/или </w:t>
            </w:r>
            <w:proofErr w:type="spellStart"/>
            <w:r w:rsidRPr="002A4893">
              <w:rPr>
                <w:rFonts w:ascii="Times New Roman" w:hAnsi="Times New Roman" w:cs="Times New Roman"/>
                <w:sz w:val="24"/>
                <w:szCs w:val="24"/>
              </w:rPr>
              <w:t>презасаждане</w:t>
            </w:r>
            <w:proofErr w:type="spellEnd"/>
            <w:r w:rsidRPr="002A4893">
              <w:rPr>
                <w:rFonts w:ascii="Times New Roman" w:hAnsi="Times New Roman" w:cs="Times New Roman"/>
                <w:sz w:val="24"/>
                <w:szCs w:val="24"/>
              </w:rPr>
              <w:t xml:space="preserve">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 xml:space="preserve">транспортни </w:t>
            </w:r>
            <w:r w:rsidR="002F1BCB" w:rsidRPr="002A4893">
              <w:rPr>
                <w:rFonts w:ascii="Times New Roman" w:hAnsi="Times New Roman" w:cs="Times New Roman"/>
                <w:sz w:val="24"/>
                <w:szCs w:val="24"/>
              </w:rPr>
              <w:lastRenderedPageBreak/>
              <w:t>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proofErr w:type="spellStart"/>
            <w:r w:rsidR="004029D1" w:rsidRPr="002A4893">
              <w:rPr>
                <w:rFonts w:ascii="Times New Roman" w:hAnsi="Times New Roman" w:cs="Times New Roman"/>
                <w:sz w:val="24"/>
                <w:szCs w:val="24"/>
              </w:rPr>
              <w:t>СМР</w:t>
            </w:r>
            <w:proofErr w:type="spellEnd"/>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proofErr w:type="spellStart"/>
            <w:r w:rsidR="004029D1" w:rsidRPr="002A4893">
              <w:rPr>
                <w:rFonts w:ascii="Times New Roman" w:hAnsi="Times New Roman" w:cs="Times New Roman"/>
                <w:sz w:val="24"/>
                <w:szCs w:val="24"/>
              </w:rPr>
              <w:t>СМР</w:t>
            </w:r>
            <w:proofErr w:type="spellEnd"/>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2F1BCB" w:rsidRPr="002A4893">
              <w:rPr>
                <w:rFonts w:ascii="Times New Roman" w:hAnsi="Times New Roman" w:cs="Times New Roman"/>
                <w:sz w:val="24"/>
                <w:szCs w:val="24"/>
              </w:rPr>
              <w:t>обн</w:t>
            </w:r>
            <w:proofErr w:type="spellEnd"/>
            <w:r w:rsidR="002F1BCB" w:rsidRPr="002A4893">
              <w:rPr>
                <w:rFonts w:ascii="Times New Roman" w:hAnsi="Times New Roman" w:cs="Times New Roman"/>
                <w:sz w:val="24"/>
                <w:szCs w:val="24"/>
              </w:rPr>
              <w:t>.,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proofErr w:type="spellStart"/>
            <w:r w:rsidR="004029D1" w:rsidRPr="002A4893">
              <w:rPr>
                <w:rFonts w:ascii="Times New Roman" w:hAnsi="Times New Roman" w:cs="Times New Roman"/>
                <w:sz w:val="24"/>
                <w:szCs w:val="24"/>
              </w:rPr>
              <w:t>СМР</w:t>
            </w:r>
            <w:proofErr w:type="spellEnd"/>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w:t>
            </w:r>
            <w:proofErr w:type="spellStart"/>
            <w:r w:rsidR="002F1BCB" w:rsidRPr="002A4893">
              <w:rPr>
                <w:rFonts w:ascii="Times New Roman" w:hAnsi="Times New Roman" w:cs="Times New Roman"/>
                <w:sz w:val="24"/>
                <w:szCs w:val="24"/>
              </w:rPr>
              <w:t>преместваеми</w:t>
            </w:r>
            <w:proofErr w:type="spellEnd"/>
            <w:r w:rsidR="002F1BCB" w:rsidRPr="002A4893">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proofErr w:type="spellStart"/>
            <w:r w:rsidR="00EF6E20" w:rsidRPr="002A4893">
              <w:rPr>
                <w:rFonts w:ascii="Times New Roman" w:hAnsi="Times New Roman" w:cs="Times New Roman"/>
                <w:sz w:val="24"/>
                <w:szCs w:val="24"/>
              </w:rPr>
              <w:t>ВЕИ</w:t>
            </w:r>
            <w:proofErr w:type="spellEnd"/>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24.5.</w:t>
            </w:r>
            <w:r w:rsidR="00C63314" w:rsidRPr="002A4893">
              <w:rPr>
                <w:rFonts w:ascii="Times New Roman" w:hAnsi="Times New Roman" w:cs="Times New Roman"/>
                <w:sz w:val="24"/>
                <w:szCs w:val="24"/>
              </w:rPr>
              <w:t xml:space="preserve">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 xml:space="preserve">т. от </w:t>
            </w:r>
            <w:r w:rsidRPr="002A4893">
              <w:rPr>
                <w:rFonts w:ascii="Times New Roman" w:hAnsi="Times New Roman" w:cs="Times New Roman"/>
                <w:sz w:val="24"/>
                <w:szCs w:val="24"/>
              </w:rPr>
              <w:lastRenderedPageBreak/>
              <w:t>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за изграждане, реконструкция или модернизация на съоръжение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по </w:t>
            </w:r>
            <w:proofErr w:type="spellStart"/>
            <w:r w:rsidR="00277A2D" w:rsidRPr="002A4893">
              <w:rPr>
                <w:rFonts w:ascii="Times New Roman" w:hAnsi="Times New Roman" w:cs="Times New Roman"/>
                <w:sz w:val="24"/>
                <w:szCs w:val="24"/>
              </w:rPr>
              <w:t>ЗВ</w:t>
            </w:r>
            <w:proofErr w:type="spellEnd"/>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w:t>
            </w:r>
            <w:proofErr w:type="spellStart"/>
            <w:r w:rsidR="00E71B0F" w:rsidRPr="002A4893">
              <w:rPr>
                <w:rFonts w:ascii="Times New Roman" w:hAnsi="Times New Roman" w:cs="Times New Roman"/>
                <w:sz w:val="24"/>
                <w:szCs w:val="24"/>
              </w:rPr>
              <w:t>ПУРБ</w:t>
            </w:r>
            <w:proofErr w:type="spellEnd"/>
            <w:r w:rsidR="00E71B0F" w:rsidRPr="002A4893">
              <w:rPr>
                <w:rFonts w:ascii="Times New Roman" w:hAnsi="Times New Roman" w:cs="Times New Roman"/>
                <w:sz w:val="24"/>
                <w:szCs w:val="24"/>
              </w:rPr>
              <w:t>)</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proofErr w:type="spellStart"/>
            <w:r w:rsidR="00E71B0F" w:rsidRPr="002A4893">
              <w:rPr>
                <w:rFonts w:ascii="Times New Roman" w:hAnsi="Times New Roman" w:cs="Times New Roman"/>
                <w:sz w:val="24"/>
                <w:szCs w:val="24"/>
              </w:rPr>
              <w:t>ПУРБ</w:t>
            </w:r>
            <w:proofErr w:type="spellEnd"/>
            <w:r w:rsidRPr="002A4893">
              <w:rPr>
                <w:rFonts w:ascii="Times New Roman" w:hAnsi="Times New Roman" w:cs="Times New Roman"/>
                <w:sz w:val="24"/>
                <w:szCs w:val="24"/>
              </w:rPr>
              <w:t xml:space="preserve"> и е обосновано изключение по чл. 156в или 156е от </w:t>
            </w:r>
            <w:proofErr w:type="spellStart"/>
            <w:r w:rsidR="00277A2D" w:rsidRPr="002A4893">
              <w:rPr>
                <w:rFonts w:ascii="Times New Roman" w:hAnsi="Times New Roman" w:cs="Times New Roman"/>
                <w:sz w:val="24"/>
                <w:szCs w:val="24"/>
              </w:rPr>
              <w:t>ЗВ</w:t>
            </w:r>
            <w:proofErr w:type="spellEnd"/>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proofErr w:type="spellStart"/>
            <w:r w:rsidR="00E71B0F" w:rsidRPr="002A4893">
              <w:rPr>
                <w:rFonts w:ascii="Times New Roman" w:hAnsi="Times New Roman" w:cs="Times New Roman"/>
                <w:sz w:val="24"/>
                <w:szCs w:val="24"/>
              </w:rPr>
              <w:t>ПУРБ</w:t>
            </w:r>
            <w:proofErr w:type="spellEnd"/>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proofErr w:type="spellStart"/>
            <w:r w:rsidR="00E71B0F" w:rsidRPr="002A4893">
              <w:rPr>
                <w:rFonts w:ascii="Times New Roman" w:hAnsi="Times New Roman" w:cs="Times New Roman"/>
                <w:sz w:val="24"/>
                <w:szCs w:val="24"/>
              </w:rPr>
              <w:lastRenderedPageBreak/>
              <w:t>ПУРБ</w:t>
            </w:r>
            <w:proofErr w:type="spellEnd"/>
            <w:r w:rsidR="00D51DE3" w:rsidRPr="002A4893">
              <w:rPr>
                <w:rFonts w:ascii="Times New Roman" w:hAnsi="Times New Roman" w:cs="Times New Roman"/>
                <w:sz w:val="24"/>
                <w:szCs w:val="24"/>
              </w:rPr>
              <w:t xml:space="preserve"> на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са планирани мерки, свързани с определяне на лимит за общо </w:t>
            </w:r>
            <w:proofErr w:type="spellStart"/>
            <w:r w:rsidR="00D51DE3" w:rsidRPr="002A4893">
              <w:rPr>
                <w:rFonts w:ascii="Times New Roman" w:hAnsi="Times New Roman" w:cs="Times New Roman"/>
                <w:sz w:val="24"/>
                <w:szCs w:val="24"/>
              </w:rPr>
              <w:t>водочерпене</w:t>
            </w:r>
            <w:proofErr w:type="spellEnd"/>
            <w:r w:rsidR="00D51DE3" w:rsidRPr="002A4893">
              <w:rPr>
                <w:rFonts w:ascii="Times New Roman" w:hAnsi="Times New Roman" w:cs="Times New Roman"/>
                <w:sz w:val="24"/>
                <w:szCs w:val="24"/>
              </w:rPr>
              <w:t xml:space="preserve">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proofErr w:type="spellStart"/>
            <w:r w:rsidR="00277A2D" w:rsidRPr="002A4893">
              <w:rPr>
                <w:rFonts w:ascii="Times New Roman" w:hAnsi="Times New Roman" w:cs="Times New Roman"/>
                <w:sz w:val="24"/>
                <w:szCs w:val="24"/>
              </w:rPr>
              <w:t>ЗВ</w:t>
            </w:r>
            <w:proofErr w:type="spellEnd"/>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proofErr w:type="spellStart"/>
            <w:r w:rsidR="007A5F64" w:rsidRPr="002A4893">
              <w:rPr>
                <w:rFonts w:ascii="Times New Roman" w:hAnsi="Times New Roman" w:cs="Times New Roman"/>
                <w:sz w:val="24"/>
                <w:szCs w:val="24"/>
              </w:rPr>
              <w:t>ПУРБ</w:t>
            </w:r>
            <w:proofErr w:type="spellEnd"/>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proofErr w:type="spellStart"/>
            <w:r w:rsidR="004029D1" w:rsidRPr="002A4893">
              <w:rPr>
                <w:rFonts w:ascii="Times New Roman" w:hAnsi="Times New Roman" w:cs="Times New Roman"/>
                <w:b/>
                <w:sz w:val="24"/>
                <w:szCs w:val="24"/>
              </w:rPr>
              <w:t>СМР</w:t>
            </w:r>
            <w:proofErr w:type="spellEnd"/>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Раздел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7" w:name="_Toc69388907"/>
      <w:r w:rsidRPr="008902B2">
        <w:rPr>
          <w:rFonts w:cs="Times New Roman"/>
          <w:color w:val="auto"/>
        </w:rPr>
        <w:lastRenderedPageBreak/>
        <w:t>13.3: Недопустими дейности:</w:t>
      </w:r>
      <w:bookmarkEnd w:id="17"/>
    </w:p>
    <w:tbl>
      <w:tblPr>
        <w:tblStyle w:val="TableGrid"/>
        <w:tblW w:w="5000" w:type="pct"/>
        <w:tblLook w:val="04A0" w:firstRow="1" w:lastRow="0" w:firstColumn="1" w:lastColumn="0" w:noHBand="0" w:noVBand="1"/>
      </w:tblPr>
      <w:tblGrid>
        <w:gridCol w:w="9855"/>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w:t>
            </w:r>
            <w:proofErr w:type="spellStart"/>
            <w:r w:rsidR="002F1BCB" w:rsidRPr="002A4893">
              <w:rPr>
                <w:rFonts w:ascii="Times New Roman" w:hAnsi="Times New Roman" w:cs="Times New Roman"/>
                <w:sz w:val="24"/>
                <w:szCs w:val="24"/>
              </w:rPr>
              <w:t>OB</w:t>
            </w:r>
            <w:proofErr w:type="spellEnd"/>
            <w:r w:rsidR="002F1BCB" w:rsidRPr="002A4893">
              <w:rPr>
                <w:rFonts w:ascii="Times New Roman" w:hAnsi="Times New Roman" w:cs="Times New Roman"/>
                <w:sz w:val="24"/>
                <w:szCs w:val="24"/>
              </w:rPr>
              <w:t xml:space="preserve"> L 347, 20.12.2013 г.) на 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A4893">
              <w:rPr>
                <w:rFonts w:ascii="Times New Roman" w:hAnsi="Times New Roman" w:cs="Times New Roman"/>
                <w:sz w:val="24"/>
                <w:szCs w:val="24"/>
              </w:rPr>
              <w:t>презасаждането</w:t>
            </w:r>
            <w:proofErr w:type="spellEnd"/>
            <w:r w:rsidR="002F1BCB" w:rsidRPr="002A4893">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w:t>
            </w:r>
            <w:proofErr w:type="spellStart"/>
            <w:r w:rsidR="002F1BCB" w:rsidRPr="002A4893">
              <w:rPr>
                <w:rFonts w:ascii="Times New Roman" w:hAnsi="Times New Roman" w:cs="Times New Roman"/>
                <w:sz w:val="24"/>
                <w:szCs w:val="24"/>
              </w:rPr>
              <w:t>лозаро-винарския</w:t>
            </w:r>
            <w:proofErr w:type="spellEnd"/>
            <w:r w:rsidR="002F1BCB" w:rsidRPr="002A4893">
              <w:rPr>
                <w:rFonts w:ascii="Times New Roman" w:hAnsi="Times New Roman" w:cs="Times New Roman"/>
                <w:sz w:val="24"/>
                <w:szCs w:val="24"/>
              </w:rPr>
              <w:t xml:space="preserve">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 xml:space="preserve">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2A4893">
              <w:rPr>
                <w:rFonts w:ascii="Times New Roman" w:hAnsi="Times New Roman" w:cs="Times New Roman"/>
                <w:sz w:val="24"/>
                <w:szCs w:val="24"/>
              </w:rPr>
              <w:t>катастрофични</w:t>
            </w:r>
            <w:proofErr w:type="spellEnd"/>
            <w:r w:rsidR="00E3549E" w:rsidRPr="002A4893">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proofErr w:type="spellStart"/>
            <w:r w:rsidR="00E3549E" w:rsidRPr="002A4893">
              <w:rPr>
                <w:rFonts w:ascii="Times New Roman" w:hAnsi="Times New Roman" w:cs="Times New Roman"/>
                <w:sz w:val="24"/>
                <w:szCs w:val="24"/>
              </w:rPr>
              <w:t>ПРСР</w:t>
            </w:r>
            <w:proofErr w:type="spellEnd"/>
            <w:r w:rsidR="00E3549E" w:rsidRPr="002A4893">
              <w:rPr>
                <w:rFonts w:ascii="Times New Roman" w:hAnsi="Times New Roman" w:cs="Times New Roman"/>
                <w:sz w:val="24"/>
                <w:szCs w:val="24"/>
              </w:rPr>
              <w:t xml:space="preserve">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w:t>
            </w:r>
            <w:proofErr w:type="spellStart"/>
            <w:r w:rsidR="002F1BCB" w:rsidRPr="002A4893">
              <w:rPr>
                <w:rFonts w:ascii="Times New Roman" w:hAnsi="Times New Roman" w:cs="Times New Roman"/>
                <w:sz w:val="24"/>
                <w:szCs w:val="24"/>
              </w:rPr>
              <w:t>OB</w:t>
            </w:r>
            <w:proofErr w:type="spellEnd"/>
            <w:r w:rsidR="002F1BCB" w:rsidRPr="002A4893">
              <w:rPr>
                <w:rFonts w:ascii="Times New Roman" w:hAnsi="Times New Roman" w:cs="Times New Roman"/>
                <w:sz w:val="24"/>
                <w:szCs w:val="24"/>
              </w:rPr>
              <w:t xml:space="preserve">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proofErr w:type="spellStart"/>
            <w:r w:rsidR="00277A2D" w:rsidRPr="002A4893">
              <w:rPr>
                <w:rFonts w:ascii="Times New Roman" w:hAnsi="Times New Roman" w:cs="Times New Roman"/>
                <w:sz w:val="24"/>
                <w:szCs w:val="24"/>
              </w:rPr>
              <w:t>ЗВ</w:t>
            </w:r>
            <w:proofErr w:type="spellEnd"/>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proofErr w:type="spellStart"/>
            <w:r w:rsidR="008347DC" w:rsidRPr="002A4893">
              <w:rPr>
                <w:rFonts w:ascii="Times New Roman" w:hAnsi="Times New Roman" w:cs="Times New Roman"/>
                <w:sz w:val="24"/>
                <w:szCs w:val="24"/>
              </w:rPr>
              <w:t>РД</w:t>
            </w:r>
            <w:proofErr w:type="spellEnd"/>
            <w:r w:rsidR="008347DC" w:rsidRPr="002A4893">
              <w:rPr>
                <w:rFonts w:ascii="Times New Roman" w:hAnsi="Times New Roman" w:cs="Times New Roman"/>
                <w:sz w:val="24"/>
                <w:szCs w:val="24"/>
              </w:rPr>
              <w:t xml:space="preserve">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w:t>
            </w:r>
            <w:proofErr w:type="spellStart"/>
            <w:r w:rsidR="008347DC" w:rsidRPr="002A4893">
              <w:rPr>
                <w:rFonts w:ascii="Times New Roman" w:hAnsi="Times New Roman" w:cs="Times New Roman"/>
                <w:sz w:val="24"/>
                <w:szCs w:val="24"/>
              </w:rPr>
              <w:t>РД</w:t>
            </w:r>
            <w:proofErr w:type="spellEnd"/>
            <w:r w:rsidR="008347DC" w:rsidRPr="002A4893">
              <w:rPr>
                <w:rFonts w:ascii="Times New Roman" w:hAnsi="Times New Roman" w:cs="Times New Roman"/>
                <w:sz w:val="24"/>
                <w:szCs w:val="24"/>
              </w:rPr>
              <w:t xml:space="preserve">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w:t>
            </w:r>
            <w:proofErr w:type="spellStart"/>
            <w:r w:rsidR="00503752" w:rsidRPr="002A4893">
              <w:rPr>
                <w:rFonts w:ascii="Times New Roman" w:hAnsi="Times New Roman" w:cs="Times New Roman"/>
                <w:sz w:val="24"/>
                <w:szCs w:val="24"/>
              </w:rPr>
              <w:t>допусмимо</w:t>
            </w:r>
            <w:proofErr w:type="spellEnd"/>
            <w:r w:rsidR="00503752" w:rsidRPr="002A4893">
              <w:rPr>
                <w:rFonts w:ascii="Times New Roman" w:hAnsi="Times New Roman" w:cs="Times New Roman"/>
                <w:sz w:val="24"/>
                <w:szCs w:val="24"/>
              </w:rPr>
              <w:t xml:space="preserve">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8"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8"/>
    </w:p>
    <w:p w14:paraId="0A1ED35E" w14:textId="46579351" w:rsidR="007F4BFA" w:rsidRPr="00F25C31" w:rsidRDefault="002F1BCB">
      <w:pPr>
        <w:pStyle w:val="Heading2"/>
        <w:spacing w:before="0"/>
        <w:jc w:val="both"/>
        <w:rPr>
          <w:rFonts w:cs="Times New Roman"/>
          <w:color w:val="auto"/>
        </w:rPr>
      </w:pPr>
      <w:bookmarkStart w:id="19" w:name="_Toc69388909"/>
      <w:r w:rsidRPr="00B83087">
        <w:rPr>
          <w:rFonts w:cs="Times New Roman"/>
          <w:color w:val="auto"/>
        </w:rPr>
        <w:t>14.1. Допустими разходи:</w:t>
      </w:r>
      <w:bookmarkEnd w:id="19"/>
    </w:p>
    <w:tbl>
      <w:tblPr>
        <w:tblStyle w:val="TableGrid"/>
        <w:tblW w:w="5000" w:type="pct"/>
        <w:tblLook w:val="04A0" w:firstRow="1" w:lastRow="0" w:firstColumn="1" w:lastColumn="0" w:noHBand="0" w:noVBand="1"/>
      </w:tblPr>
      <w:tblGrid>
        <w:gridCol w:w="9855"/>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w:t>
            </w:r>
            <w:proofErr w:type="spellStart"/>
            <w:r w:rsidRPr="002A4893">
              <w:rPr>
                <w:rFonts w:ascii="Times New Roman" w:hAnsi="Times New Roman" w:cs="Times New Roman"/>
                <w:b/>
                <w:sz w:val="24"/>
                <w:szCs w:val="24"/>
              </w:rPr>
              <w:t>1</w:t>
            </w:r>
            <w:proofErr w:type="spellEnd"/>
            <w:r w:rsidRPr="002A4893">
              <w:rPr>
                <w:rFonts w:ascii="Times New Roman" w:hAnsi="Times New Roman" w:cs="Times New Roman"/>
                <w:b/>
                <w:sz w:val="24"/>
                <w:szCs w:val="24"/>
              </w:rPr>
              <w:t>.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w:t>
            </w:r>
            <w:r w:rsidR="002F1BCB" w:rsidRPr="002A4893">
              <w:rPr>
                <w:rFonts w:ascii="Times New Roman" w:hAnsi="Times New Roman" w:cs="Times New Roman"/>
                <w:sz w:val="24"/>
                <w:szCs w:val="24"/>
              </w:rPr>
              <w:lastRenderedPageBreak/>
              <w:t>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w:t>
            </w:r>
            <w:proofErr w:type="spellStart"/>
            <w:r w:rsidR="007372E8" w:rsidRPr="002A4893">
              <w:rPr>
                <w:rFonts w:ascii="Times New Roman" w:hAnsi="Times New Roman" w:cs="Times New Roman"/>
                <w:sz w:val="24"/>
                <w:szCs w:val="24"/>
              </w:rPr>
              <w:t>ВЕИ</w:t>
            </w:r>
            <w:proofErr w:type="spellEnd"/>
            <w:r w:rsidR="007372E8" w:rsidRPr="002A4893">
              <w:rPr>
                <w:rFonts w:ascii="Times New Roman" w:hAnsi="Times New Roman" w:cs="Times New Roman"/>
                <w:sz w:val="24"/>
                <w:szCs w:val="24"/>
              </w:rPr>
              <w:t xml:space="preserve">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 xml:space="preserve">и/или </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w:t>
            </w:r>
            <w:proofErr w:type="spellStart"/>
            <w:r w:rsidR="00F37E83" w:rsidRPr="002A4893">
              <w:rPr>
                <w:rFonts w:ascii="Times New Roman" w:hAnsi="Times New Roman" w:cs="Times New Roman"/>
                <w:sz w:val="24"/>
                <w:szCs w:val="24"/>
              </w:rPr>
              <w:t>био-енергия</w:t>
            </w:r>
            <w:proofErr w:type="spellEnd"/>
            <w:r w:rsidR="00F37E83" w:rsidRPr="002A4893">
              <w:rPr>
                <w:rFonts w:ascii="Times New Roman" w:hAnsi="Times New Roman" w:cs="Times New Roman"/>
                <w:sz w:val="24"/>
                <w:szCs w:val="24"/>
              </w:rPr>
              <w:t>.</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proofErr w:type="spellStart"/>
            <w:r w:rsidRPr="002A4893">
              <w:rPr>
                <w:rFonts w:ascii="Times New Roman" w:hAnsi="Times New Roman" w:cs="Times New Roman"/>
                <w:sz w:val="24"/>
                <w:szCs w:val="24"/>
              </w:rPr>
              <w:t>1</w:t>
            </w:r>
            <w:proofErr w:type="spellEnd"/>
            <w:r w:rsidRPr="002A4893">
              <w:rPr>
                <w:rFonts w:ascii="Times New Roman" w:hAnsi="Times New Roman" w:cs="Times New Roman"/>
                <w:sz w:val="24"/>
                <w:szCs w:val="24"/>
              </w:rPr>
              <w:t xml:space="preserve">.7.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proofErr w:type="spellStart"/>
            <w:r w:rsidRPr="002A4893">
              <w:rPr>
                <w:rFonts w:ascii="Times New Roman" w:hAnsi="Times New Roman" w:cs="Times New Roman"/>
                <w:sz w:val="24"/>
                <w:szCs w:val="24"/>
              </w:rPr>
              <w:t>2</w:t>
            </w:r>
            <w:proofErr w:type="spellEnd"/>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proofErr w:type="spellStart"/>
            <w:r w:rsidR="002F1BCB" w:rsidRPr="002A4893">
              <w:rPr>
                <w:rFonts w:ascii="Times New Roman" w:hAnsi="Times New Roman" w:cs="Times New Roman"/>
                <w:sz w:val="24"/>
                <w:szCs w:val="24"/>
              </w:rPr>
              <w:t>ноу-хау</w:t>
            </w:r>
            <w:proofErr w:type="spellEnd"/>
            <w:r w:rsidR="002F1BCB" w:rsidRPr="002A4893">
              <w:rPr>
                <w:rFonts w:ascii="Times New Roman" w:hAnsi="Times New Roman" w:cs="Times New Roman"/>
                <w:sz w:val="24"/>
                <w:szCs w:val="24"/>
              </w:rPr>
              <w:t>,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w:t>
            </w:r>
            <w:proofErr w:type="spellStart"/>
            <w:r w:rsidR="002F1BCB" w:rsidRPr="00EB5ED1">
              <w:rPr>
                <w:rFonts w:ascii="Times New Roman" w:hAnsi="Times New Roman" w:cs="Times New Roman"/>
                <w:sz w:val="24"/>
                <w:szCs w:val="24"/>
              </w:rPr>
              <w:t>предпроектни</w:t>
            </w:r>
            <w:proofErr w:type="spellEnd"/>
            <w:r w:rsidR="002F1BCB" w:rsidRPr="00EB5ED1">
              <w:rPr>
                <w:rFonts w:ascii="Times New Roman" w:hAnsi="Times New Roman" w:cs="Times New Roman"/>
                <w:sz w:val="24"/>
                <w:szCs w:val="24"/>
              </w:rPr>
              <w:t xml:space="preserve">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0" w:name="_Toc69388910"/>
      <w:r w:rsidRPr="008902B2">
        <w:rPr>
          <w:rFonts w:cs="Times New Roman"/>
          <w:color w:val="auto"/>
        </w:rPr>
        <w:lastRenderedPageBreak/>
        <w:t>14.2. Условия за допустимост на разходите:</w:t>
      </w:r>
      <w:bookmarkEnd w:id="20"/>
    </w:p>
    <w:tbl>
      <w:tblPr>
        <w:tblStyle w:val="TableGrid"/>
        <w:tblW w:w="5000" w:type="pct"/>
        <w:tblLook w:val="04A0" w:firstRow="1" w:lastRow="0" w:firstColumn="1" w:lastColumn="0" w:noHBand="0" w:noVBand="1"/>
      </w:tblPr>
      <w:tblGrid>
        <w:gridCol w:w="9855"/>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 xml:space="preserve">подаване на </w:t>
            </w:r>
            <w:r w:rsidR="00AC4AA2" w:rsidRPr="002A4893">
              <w:rPr>
                <w:rFonts w:ascii="Times New Roman" w:hAnsi="Times New Roman" w:cs="Times New Roman"/>
                <w:sz w:val="24"/>
                <w:szCs w:val="24"/>
              </w:rPr>
              <w:lastRenderedPageBreak/>
              <w:t>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w:t>
            </w:r>
            <w:proofErr w:type="spellStart"/>
            <w:r w:rsidR="00D53558" w:rsidRPr="002A4893">
              <w:rPr>
                <w:rFonts w:ascii="Times New Roman" w:hAnsi="Times New Roman" w:cs="Times New Roman"/>
                <w:sz w:val="24"/>
                <w:szCs w:val="24"/>
              </w:rPr>
              <w:t>1</w:t>
            </w:r>
            <w:proofErr w:type="spellEnd"/>
            <w:r w:rsidR="00D53558" w:rsidRPr="002A4893">
              <w:rPr>
                <w:rFonts w:ascii="Times New Roman" w:hAnsi="Times New Roman" w:cs="Times New Roman"/>
                <w:sz w:val="24"/>
                <w:szCs w:val="24"/>
              </w:rPr>
              <w:t>.5.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w:t>
            </w:r>
            <w:proofErr w:type="spellStart"/>
            <w:r w:rsidR="001E0A0E" w:rsidRPr="002A4893">
              <w:rPr>
                <w:rFonts w:ascii="Times New Roman" w:hAnsi="Times New Roman" w:cs="Times New Roman"/>
                <w:sz w:val="24"/>
                <w:szCs w:val="24"/>
              </w:rPr>
              <w:t>1</w:t>
            </w:r>
            <w:proofErr w:type="spellEnd"/>
            <w:r w:rsidR="001E0A0E" w:rsidRPr="002A4893">
              <w:rPr>
                <w:rFonts w:ascii="Times New Roman" w:hAnsi="Times New Roman" w:cs="Times New Roman"/>
                <w:sz w:val="24"/>
                <w:szCs w:val="24"/>
              </w:rPr>
              <w:t>.1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w:t>
            </w:r>
            <w:proofErr w:type="spellStart"/>
            <w:r w:rsidR="001E0A0E" w:rsidRPr="002A4893">
              <w:rPr>
                <w:rFonts w:ascii="Times New Roman" w:hAnsi="Times New Roman" w:cs="Times New Roman"/>
                <w:sz w:val="24"/>
                <w:szCs w:val="24"/>
              </w:rPr>
              <w:t>1</w:t>
            </w:r>
            <w:proofErr w:type="spellEnd"/>
            <w:r w:rsidR="001E0A0E" w:rsidRPr="002A4893">
              <w:rPr>
                <w:rFonts w:ascii="Times New Roman" w:hAnsi="Times New Roman" w:cs="Times New Roman"/>
                <w:sz w:val="24"/>
                <w:szCs w:val="24"/>
              </w:rPr>
              <w:t>.4.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w:t>
            </w:r>
            <w:proofErr w:type="spellStart"/>
            <w:r w:rsidR="001E0A0E" w:rsidRPr="002A4893">
              <w:rPr>
                <w:rFonts w:ascii="Times New Roman" w:hAnsi="Times New Roman" w:cs="Times New Roman"/>
                <w:sz w:val="24"/>
                <w:szCs w:val="24"/>
              </w:rPr>
              <w:t>1</w:t>
            </w:r>
            <w:proofErr w:type="spellEnd"/>
            <w:r w:rsidR="001E0A0E" w:rsidRPr="002A4893">
              <w:rPr>
                <w:rFonts w:ascii="Times New Roman" w:hAnsi="Times New Roman" w:cs="Times New Roman"/>
                <w:sz w:val="24"/>
                <w:szCs w:val="24"/>
              </w:rPr>
              <w:t>.6.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w:t>
            </w:r>
            <w:proofErr w:type="spellStart"/>
            <w:r w:rsidR="001E0A0E" w:rsidRPr="002A4893">
              <w:rPr>
                <w:rFonts w:ascii="Times New Roman" w:hAnsi="Times New Roman" w:cs="Times New Roman"/>
                <w:sz w:val="24"/>
                <w:szCs w:val="24"/>
              </w:rPr>
              <w:t>1</w:t>
            </w:r>
            <w:proofErr w:type="spellEnd"/>
            <w:r w:rsidR="001E0A0E" w:rsidRPr="002A4893">
              <w:rPr>
                <w:rFonts w:ascii="Times New Roman" w:hAnsi="Times New Roman" w:cs="Times New Roman"/>
                <w:sz w:val="24"/>
                <w:szCs w:val="24"/>
              </w:rPr>
              <w:t>.7.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proofErr w:type="spellStart"/>
            <w:r w:rsidR="004029D1" w:rsidRPr="002A4893">
              <w:rPr>
                <w:rFonts w:ascii="Times New Roman" w:hAnsi="Times New Roman" w:cs="Times New Roman"/>
                <w:sz w:val="24"/>
                <w:szCs w:val="24"/>
              </w:rPr>
              <w:t>СМР</w:t>
            </w:r>
            <w:proofErr w:type="spellEnd"/>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те 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w:t>
            </w:r>
            <w:proofErr w:type="spellStart"/>
            <w:r w:rsidR="00133686" w:rsidRPr="002A4893">
              <w:rPr>
                <w:rFonts w:ascii="Times New Roman" w:eastAsiaTheme="minorEastAsia" w:hAnsi="Times New Roman" w:cs="Times New Roman"/>
                <w:sz w:val="24"/>
                <w:szCs w:val="24"/>
                <w:lang w:eastAsia="bg-BG"/>
              </w:rPr>
              <w:t>предпроектно</w:t>
            </w:r>
            <w:proofErr w:type="spellEnd"/>
            <w:r w:rsidR="00133686" w:rsidRPr="002A4893">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w:t>
            </w:r>
            <w:proofErr w:type="spellStart"/>
            <w:r w:rsidR="0033688E" w:rsidRPr="002A4893">
              <w:rPr>
                <w:rFonts w:ascii="Times New Roman" w:hAnsi="Times New Roman" w:cs="Times New Roman"/>
                <w:sz w:val="24"/>
                <w:szCs w:val="24"/>
              </w:rPr>
              <w:t>1</w:t>
            </w:r>
            <w:proofErr w:type="spellEnd"/>
            <w:r w:rsidR="0033688E" w:rsidRPr="002A4893">
              <w:rPr>
                <w:rFonts w:ascii="Times New Roman" w:hAnsi="Times New Roman" w:cs="Times New Roman"/>
                <w:sz w:val="24"/>
                <w:szCs w:val="24"/>
              </w:rPr>
              <w:t>.4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w:t>
            </w:r>
            <w:proofErr w:type="spellStart"/>
            <w:r w:rsidR="009D4015" w:rsidRPr="002A4893">
              <w:rPr>
                <w:rFonts w:ascii="Times New Roman" w:hAnsi="Times New Roman" w:cs="Times New Roman"/>
                <w:sz w:val="24"/>
                <w:szCs w:val="24"/>
              </w:rPr>
              <w:t>отводки</w:t>
            </w:r>
            <w:proofErr w:type="spellEnd"/>
            <w:r w:rsidR="009D4015" w:rsidRPr="002A4893">
              <w:rPr>
                <w:rFonts w:ascii="Times New Roman" w:hAnsi="Times New Roman" w:cs="Times New Roman"/>
                <w:sz w:val="24"/>
                <w:szCs w:val="24"/>
              </w:rPr>
              <w:t xml:space="preserve"> (рояци) и реда за водене на регистър (</w:t>
            </w:r>
            <w:proofErr w:type="spellStart"/>
            <w:r w:rsidR="009D4015" w:rsidRPr="002A4893">
              <w:rPr>
                <w:rFonts w:ascii="Times New Roman" w:hAnsi="Times New Roman" w:cs="Times New Roman"/>
                <w:sz w:val="24"/>
                <w:szCs w:val="24"/>
              </w:rPr>
              <w:t>обн</w:t>
            </w:r>
            <w:proofErr w:type="spellEnd"/>
            <w:r w:rsidR="009D4015" w:rsidRPr="002A4893">
              <w:rPr>
                <w:rFonts w:ascii="Times New Roman" w:hAnsi="Times New Roman" w:cs="Times New Roman"/>
                <w:sz w:val="24"/>
                <w:szCs w:val="24"/>
              </w:rPr>
              <w:t>.,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w:t>
            </w:r>
            <w:proofErr w:type="spellStart"/>
            <w:r w:rsidR="002F1BCB" w:rsidRPr="002A4893">
              <w:rPr>
                <w:rFonts w:ascii="Times New Roman" w:hAnsi="Times New Roman" w:cs="Times New Roman"/>
                <w:sz w:val="24"/>
                <w:szCs w:val="24"/>
              </w:rPr>
              <w:t>РА</w:t>
            </w:r>
            <w:proofErr w:type="spellEnd"/>
            <w:r w:rsidR="002F1BCB" w:rsidRPr="002A4893">
              <w:rPr>
                <w:rFonts w:ascii="Times New Roman" w:hAnsi="Times New Roman" w:cs="Times New Roman"/>
                <w:sz w:val="24"/>
                <w:szCs w:val="24"/>
              </w:rPr>
              <w:t xml:space="preserve">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w:t>
            </w:r>
            <w:proofErr w:type="spellStart"/>
            <w:r w:rsidR="002F1BCB" w:rsidRPr="002A4893">
              <w:rPr>
                <w:rFonts w:ascii="Times New Roman" w:hAnsi="Times New Roman" w:cs="Times New Roman"/>
                <w:sz w:val="24"/>
                <w:szCs w:val="24"/>
              </w:rPr>
              <w:t>оферента</w:t>
            </w:r>
            <w:proofErr w:type="spellEnd"/>
            <w:r w:rsidR="002F1BCB" w:rsidRPr="002A4893">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F1BCB" w:rsidRPr="002A4893">
              <w:rPr>
                <w:rFonts w:ascii="Times New Roman" w:hAnsi="Times New Roman" w:cs="Times New Roman"/>
                <w:sz w:val="24"/>
                <w:szCs w:val="24"/>
              </w:rPr>
              <w:t>оферента</w:t>
            </w:r>
            <w:proofErr w:type="spellEnd"/>
            <w:r w:rsidR="002F1BCB" w:rsidRPr="002A4893">
              <w:rPr>
                <w:rFonts w:ascii="Times New Roman" w:hAnsi="Times New Roman" w:cs="Times New Roman"/>
                <w:sz w:val="24"/>
                <w:szCs w:val="24"/>
              </w:rPr>
              <w:t xml:space="preserve">,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w:t>
            </w:r>
            <w:proofErr w:type="spellStart"/>
            <w:r w:rsidR="002F1BCB" w:rsidRPr="002A4893">
              <w:rPr>
                <w:rFonts w:ascii="Times New Roman" w:hAnsi="Times New Roman" w:cs="Times New Roman"/>
                <w:sz w:val="24"/>
                <w:szCs w:val="24"/>
              </w:rPr>
              <w:t>оферента</w:t>
            </w:r>
            <w:proofErr w:type="spellEnd"/>
            <w:r w:rsidR="002F1BCB" w:rsidRPr="002A4893">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F1BCB" w:rsidRPr="002A4893">
              <w:rPr>
                <w:rFonts w:ascii="Times New Roman" w:hAnsi="Times New Roman" w:cs="Times New Roman"/>
                <w:sz w:val="24"/>
                <w:szCs w:val="24"/>
              </w:rPr>
              <w:t>оферента</w:t>
            </w:r>
            <w:proofErr w:type="spellEnd"/>
            <w:r w:rsidR="002F1BCB" w:rsidRPr="002A4893">
              <w:rPr>
                <w:rFonts w:ascii="Times New Roman" w:hAnsi="Times New Roman" w:cs="Times New Roman"/>
                <w:sz w:val="24"/>
                <w:szCs w:val="24"/>
              </w:rPr>
              <w:t xml:space="preserve">,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proofErr w:type="spellStart"/>
            <w:r w:rsidR="002F1BCB" w:rsidRPr="002A4893">
              <w:rPr>
                <w:rFonts w:ascii="Times New Roman" w:hAnsi="Times New Roman" w:cs="Times New Roman"/>
                <w:sz w:val="24"/>
                <w:szCs w:val="24"/>
              </w:rPr>
              <w:t>оферентите</w:t>
            </w:r>
            <w:proofErr w:type="spellEnd"/>
            <w:r w:rsidR="002F1BCB" w:rsidRPr="002A4893">
              <w:rPr>
                <w:rFonts w:ascii="Times New Roman" w:hAnsi="Times New Roman" w:cs="Times New Roman"/>
                <w:sz w:val="24"/>
                <w:szCs w:val="24"/>
              </w:rPr>
              <w:t xml:space="preserve">, когато са местни лица, следва да са вписани в Търговския регистър към Агенцията по вписванията, а </w:t>
            </w:r>
            <w:proofErr w:type="spellStart"/>
            <w:r w:rsidR="002F1BCB" w:rsidRPr="002A4893">
              <w:rPr>
                <w:rFonts w:ascii="Times New Roman" w:hAnsi="Times New Roman" w:cs="Times New Roman"/>
                <w:sz w:val="24"/>
                <w:szCs w:val="24"/>
              </w:rPr>
              <w:t>оферентите</w:t>
            </w:r>
            <w:proofErr w:type="spellEnd"/>
            <w:r w:rsidR="002F1BCB" w:rsidRPr="002A4893">
              <w:rPr>
                <w:rFonts w:ascii="Times New Roman" w:hAnsi="Times New Roman" w:cs="Times New Roman"/>
                <w:sz w:val="24"/>
                <w:szCs w:val="24"/>
              </w:rPr>
              <w:t xml:space="preserve"> – чуждестранни лица, следва да представят документ за </w:t>
            </w:r>
            <w:proofErr w:type="spellStart"/>
            <w:r w:rsidR="002F1BCB" w:rsidRPr="002A4893">
              <w:rPr>
                <w:rFonts w:ascii="Times New Roman" w:hAnsi="Times New Roman" w:cs="Times New Roman"/>
                <w:sz w:val="24"/>
                <w:szCs w:val="24"/>
              </w:rPr>
              <w:t>правосубектност</w:t>
            </w:r>
            <w:proofErr w:type="spellEnd"/>
            <w:r w:rsidR="002F1BCB" w:rsidRPr="002A4893">
              <w:rPr>
                <w:rFonts w:ascii="Times New Roman" w:hAnsi="Times New Roman" w:cs="Times New Roman"/>
                <w:sz w:val="24"/>
                <w:szCs w:val="24"/>
              </w:rPr>
              <w:t xml:space="preserve"> съгласно националното им законодателство. </w:t>
            </w:r>
            <w:proofErr w:type="spellStart"/>
            <w:r w:rsidR="002F1BCB" w:rsidRPr="002A4893">
              <w:rPr>
                <w:rFonts w:ascii="Times New Roman" w:hAnsi="Times New Roman" w:cs="Times New Roman"/>
                <w:sz w:val="24"/>
                <w:szCs w:val="24"/>
              </w:rPr>
              <w:t>Оферентите</w:t>
            </w:r>
            <w:proofErr w:type="spellEnd"/>
            <w:r w:rsidR="002F1BCB" w:rsidRPr="002A4893">
              <w:rPr>
                <w:rFonts w:ascii="Times New Roman" w:hAnsi="Times New Roman" w:cs="Times New Roman"/>
                <w:sz w:val="24"/>
                <w:szCs w:val="24"/>
              </w:rPr>
              <w:t xml:space="preserve"> на </w:t>
            </w:r>
            <w:proofErr w:type="spellStart"/>
            <w:r w:rsidR="004029D1" w:rsidRPr="002A4893">
              <w:rPr>
                <w:rFonts w:ascii="Times New Roman" w:hAnsi="Times New Roman" w:cs="Times New Roman"/>
                <w:sz w:val="24"/>
                <w:szCs w:val="24"/>
              </w:rPr>
              <w:t>СМР</w:t>
            </w:r>
            <w:proofErr w:type="spellEnd"/>
            <w:r w:rsidR="002F1BCB" w:rsidRPr="002A4893">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proofErr w:type="spellStart"/>
            <w:r w:rsidR="00B47851" w:rsidRPr="002A4893">
              <w:rPr>
                <w:rFonts w:ascii="Times New Roman" w:hAnsi="Times New Roman" w:cs="Times New Roman"/>
                <w:sz w:val="24"/>
                <w:szCs w:val="24"/>
              </w:rPr>
              <w:t>Оферентите</w:t>
            </w:r>
            <w:proofErr w:type="spellEnd"/>
            <w:r w:rsidR="00B47851" w:rsidRPr="002A4893">
              <w:rPr>
                <w:rFonts w:ascii="Times New Roman" w:hAnsi="Times New Roman" w:cs="Times New Roman"/>
                <w:sz w:val="24"/>
                <w:szCs w:val="24"/>
              </w:rPr>
              <w:t xml:space="preserve">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roofErr w:type="spellStart"/>
            <w:r w:rsidR="00B47851" w:rsidRPr="002A4893">
              <w:rPr>
                <w:rFonts w:ascii="Times New Roman" w:hAnsi="Times New Roman" w:cs="Times New Roman"/>
                <w:sz w:val="24"/>
                <w:szCs w:val="24"/>
              </w:rPr>
              <w:t>Оферентите</w:t>
            </w:r>
            <w:proofErr w:type="spellEnd"/>
            <w:r w:rsidR="00B47851" w:rsidRPr="002A4893">
              <w:rPr>
                <w:rFonts w:ascii="Times New Roman" w:hAnsi="Times New Roman" w:cs="Times New Roman"/>
                <w:sz w:val="24"/>
                <w:szCs w:val="24"/>
              </w:rPr>
              <w:t xml:space="preserve">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w:t>
            </w:r>
            <w:r w:rsidR="00B47851" w:rsidRPr="002A4893">
              <w:rPr>
                <w:rFonts w:ascii="Times New Roman" w:hAnsi="Times New Roman" w:cs="Times New Roman"/>
                <w:sz w:val="24"/>
                <w:szCs w:val="24"/>
              </w:rPr>
              <w:lastRenderedPageBreak/>
              <w:t xml:space="preserve">към Агенцията по вписванията не се прилага за Националната служба за съвети в земеделието, физически лица - </w:t>
            </w:r>
            <w:proofErr w:type="spellStart"/>
            <w:r w:rsidR="00B47851" w:rsidRPr="002A4893">
              <w:rPr>
                <w:rFonts w:ascii="Times New Roman" w:hAnsi="Times New Roman" w:cs="Times New Roman"/>
                <w:sz w:val="24"/>
                <w:szCs w:val="24"/>
              </w:rPr>
              <w:t>оференти</w:t>
            </w:r>
            <w:proofErr w:type="spellEnd"/>
            <w:r w:rsidR="00B47851" w:rsidRPr="002A4893">
              <w:rPr>
                <w:rFonts w:ascii="Times New Roman" w:hAnsi="Times New Roman" w:cs="Times New Roman"/>
                <w:sz w:val="24"/>
                <w:szCs w:val="24"/>
              </w:rPr>
              <w:t xml:space="preserve"> на посадъчен материал или за производство и предлагане на пазара на елитни и племенни пчелни майки и </w:t>
            </w:r>
            <w:proofErr w:type="spellStart"/>
            <w:r w:rsidR="00B47851" w:rsidRPr="002A4893">
              <w:rPr>
                <w:rFonts w:ascii="Times New Roman" w:hAnsi="Times New Roman" w:cs="Times New Roman"/>
                <w:sz w:val="24"/>
                <w:szCs w:val="24"/>
              </w:rPr>
              <w:t>отводки</w:t>
            </w:r>
            <w:proofErr w:type="spellEnd"/>
            <w:r w:rsidR="00B47851" w:rsidRPr="002A4893">
              <w:rPr>
                <w:rFonts w:ascii="Times New Roman" w:hAnsi="Times New Roman" w:cs="Times New Roman"/>
                <w:sz w:val="24"/>
                <w:szCs w:val="24"/>
              </w:rPr>
              <w:t xml:space="preserve">,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w:t>
            </w:r>
            <w:proofErr w:type="spellStart"/>
            <w:r w:rsidR="002F1BCB" w:rsidRPr="002A4893">
              <w:rPr>
                <w:rFonts w:ascii="Times New Roman" w:hAnsi="Times New Roman" w:cs="Times New Roman"/>
                <w:sz w:val="24"/>
                <w:szCs w:val="24"/>
              </w:rPr>
              <w:t>оферентите</w:t>
            </w:r>
            <w:proofErr w:type="spellEnd"/>
            <w:r w:rsidR="002F1BCB" w:rsidRPr="002A4893">
              <w:rPr>
                <w:rFonts w:ascii="Times New Roman" w:hAnsi="Times New Roman" w:cs="Times New Roman"/>
                <w:sz w:val="24"/>
                <w:szCs w:val="24"/>
              </w:rPr>
              <w:t xml:space="preserve">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w:t>
            </w:r>
            <w:proofErr w:type="spellStart"/>
            <w:r w:rsidR="002F1BCB" w:rsidRPr="002A4893">
              <w:rPr>
                <w:rFonts w:ascii="Times New Roman" w:hAnsi="Times New Roman" w:cs="Times New Roman"/>
                <w:sz w:val="24"/>
                <w:szCs w:val="24"/>
              </w:rPr>
              <w:t>оферента</w:t>
            </w:r>
            <w:proofErr w:type="spellEnd"/>
            <w:r w:rsidR="002F1BCB" w:rsidRPr="002A4893">
              <w:rPr>
                <w:rFonts w:ascii="Times New Roman" w:hAnsi="Times New Roman" w:cs="Times New Roman"/>
                <w:sz w:val="24"/>
                <w:szCs w:val="24"/>
              </w:rPr>
              <w:t>,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57A8E81F" w:rsidR="00655FD5"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proofErr w:type="spellStart"/>
            <w:r w:rsidR="007C31EC" w:rsidRPr="002A4893">
              <w:rPr>
                <w:rFonts w:ascii="Times New Roman" w:hAnsi="Times New Roman" w:cs="Times New Roman"/>
                <w:sz w:val="24"/>
                <w:szCs w:val="24"/>
              </w:rPr>
              <w:t>БФП</w:t>
            </w:r>
            <w:proofErr w:type="spellEnd"/>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w:t>
            </w:r>
            <w:proofErr w:type="spellStart"/>
            <w:r w:rsidR="00A77D5B" w:rsidRPr="002A4893">
              <w:rPr>
                <w:rFonts w:ascii="Times New Roman" w:eastAsiaTheme="minorEastAsia" w:hAnsi="Times New Roman" w:cs="Times New Roman"/>
                <w:sz w:val="24"/>
                <w:szCs w:val="24"/>
                <w:lang w:eastAsia="bg-BG"/>
              </w:rPr>
              <w:t>ИСУН</w:t>
            </w:r>
            <w:proofErr w:type="spellEnd"/>
            <w:r w:rsidR="00A77D5B" w:rsidRPr="002A4893">
              <w:rPr>
                <w:rFonts w:ascii="Times New Roman" w:eastAsiaTheme="minorEastAsia" w:hAnsi="Times New Roman" w:cs="Times New Roman"/>
                <w:sz w:val="24"/>
                <w:szCs w:val="24"/>
                <w:lang w:eastAsia="bg-BG"/>
              </w:rPr>
              <w:t xml:space="preserve">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w:t>
            </w:r>
            <w:proofErr w:type="spellStart"/>
            <w:r w:rsidR="00757A3E" w:rsidRPr="002A4893">
              <w:rPr>
                <w:rFonts w:ascii="Times New Roman" w:hAnsi="Times New Roman" w:cs="Times New Roman"/>
                <w:sz w:val="24"/>
                <w:szCs w:val="24"/>
              </w:rPr>
              <w:t>съфинансирането</w:t>
            </w:r>
            <w:proofErr w:type="spellEnd"/>
            <w:r w:rsidR="00757A3E" w:rsidRPr="002A4893">
              <w:rPr>
                <w:rFonts w:ascii="Times New Roman" w:hAnsi="Times New Roman" w:cs="Times New Roman"/>
                <w:sz w:val="24"/>
                <w:szCs w:val="24"/>
              </w:rPr>
              <w:t xml:space="preserve">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w:t>
            </w:r>
            <w:proofErr w:type="spellStart"/>
            <w:r w:rsidR="00757A3E" w:rsidRPr="002A4893">
              <w:rPr>
                <w:rFonts w:ascii="Times New Roman" w:hAnsi="Times New Roman" w:cs="Times New Roman"/>
                <w:sz w:val="24"/>
                <w:szCs w:val="24"/>
              </w:rPr>
              <w:t>съфинансирането</w:t>
            </w:r>
            <w:proofErr w:type="spellEnd"/>
            <w:r w:rsidR="00757A3E" w:rsidRPr="002A4893">
              <w:rPr>
                <w:rFonts w:ascii="Times New Roman" w:hAnsi="Times New Roman" w:cs="Times New Roman"/>
                <w:sz w:val="24"/>
                <w:szCs w:val="24"/>
              </w:rPr>
              <w:t xml:space="preserve">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lastRenderedPageBreak/>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w:t>
            </w:r>
            <w:proofErr w:type="spellStart"/>
            <w:r w:rsidR="001C3951" w:rsidRPr="002A4893">
              <w:rPr>
                <w:rFonts w:ascii="Times New Roman" w:hAnsi="Times New Roman" w:cs="Times New Roman"/>
                <w:sz w:val="24"/>
                <w:szCs w:val="24"/>
              </w:rPr>
              <w:t>БФП</w:t>
            </w:r>
            <w:proofErr w:type="spellEnd"/>
            <w:r w:rsidR="001C3951" w:rsidRPr="002A4893">
              <w:rPr>
                <w:rFonts w:ascii="Times New Roman" w:hAnsi="Times New Roman" w:cs="Times New Roman"/>
                <w:sz w:val="24"/>
                <w:szCs w:val="24"/>
              </w:rPr>
              <w:t xml:space="preserve">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 xml:space="preserve">при условията на т. 4 от раздел 10. „Процент на </w:t>
            </w:r>
            <w:proofErr w:type="spellStart"/>
            <w:r w:rsidR="001C3951" w:rsidRPr="002A4893">
              <w:rPr>
                <w:rFonts w:ascii="Times New Roman" w:hAnsi="Times New Roman" w:cs="Times New Roman"/>
                <w:sz w:val="24"/>
                <w:szCs w:val="24"/>
              </w:rPr>
              <w:t>съфинансиране</w:t>
            </w:r>
            <w:proofErr w:type="spellEnd"/>
            <w:r w:rsidR="001C3951" w:rsidRPr="002A4893">
              <w:rPr>
                <w:rFonts w:ascii="Times New Roman" w:hAnsi="Times New Roman" w:cs="Times New Roman"/>
                <w:sz w:val="24"/>
                <w:szCs w:val="24"/>
              </w:rPr>
              <w:t>“</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 xml:space="preserve">когато заявената </w:t>
            </w:r>
            <w:proofErr w:type="spellStart"/>
            <w:r w:rsidR="003C3EDC" w:rsidRPr="002A4893">
              <w:rPr>
                <w:rFonts w:ascii="Times New Roman" w:hAnsi="Times New Roman" w:cs="Times New Roman"/>
                <w:sz w:val="24"/>
                <w:szCs w:val="24"/>
              </w:rPr>
              <w:t>БФП</w:t>
            </w:r>
            <w:proofErr w:type="spellEnd"/>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w:t>
            </w:r>
            <w:proofErr w:type="spellStart"/>
            <w:r w:rsidR="00EF5F07" w:rsidRPr="002A4893">
              <w:rPr>
                <w:rFonts w:ascii="Times New Roman" w:eastAsiaTheme="minorEastAsia" w:hAnsi="Times New Roman" w:cs="Times New Roman"/>
                <w:sz w:val="24"/>
                <w:szCs w:val="24"/>
                <w:lang w:eastAsia="bg-BG"/>
              </w:rPr>
              <w:t>ИСУН</w:t>
            </w:r>
            <w:proofErr w:type="spellEnd"/>
            <w:r w:rsidR="00EF5F07" w:rsidRPr="002A4893">
              <w:rPr>
                <w:rFonts w:ascii="Times New Roman" w:eastAsiaTheme="minorEastAsia" w:hAnsi="Times New Roman" w:cs="Times New Roman"/>
                <w:sz w:val="24"/>
                <w:szCs w:val="24"/>
                <w:lang w:eastAsia="bg-BG"/>
              </w:rPr>
              <w:t xml:space="preserve">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proofErr w:type="spellStart"/>
            <w:r w:rsidR="004029D1" w:rsidRPr="002A4893">
              <w:rPr>
                <w:rFonts w:ascii="Times New Roman" w:hAnsi="Times New Roman" w:cs="Times New Roman"/>
                <w:sz w:val="24"/>
                <w:szCs w:val="24"/>
              </w:rPr>
              <w:t>СМР</w:t>
            </w:r>
            <w:proofErr w:type="spellEnd"/>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561B3327" w:rsidR="001C3951" w:rsidRPr="002A4893"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w:t>
            </w:r>
            <w:proofErr w:type="spellStart"/>
            <w:r w:rsidR="00E75241" w:rsidRPr="002A4893">
              <w:rPr>
                <w:rFonts w:ascii="Times New Roman" w:hAnsi="Times New Roman" w:cs="Times New Roman"/>
                <w:b/>
                <w:sz w:val="24"/>
                <w:szCs w:val="24"/>
              </w:rPr>
              <w:t>ИСУН</w:t>
            </w:r>
            <w:proofErr w:type="spellEnd"/>
            <w:r w:rsidR="00E75241" w:rsidRPr="002A4893">
              <w:rPr>
                <w:rFonts w:ascii="Times New Roman" w:hAnsi="Times New Roman" w:cs="Times New Roman"/>
                <w:b/>
                <w:sz w:val="24"/>
                <w:szCs w:val="24"/>
              </w:rPr>
              <w:t xml:space="preserve"> 2020, място за </w:t>
            </w:r>
            <w:proofErr w:type="spellStart"/>
            <w:r w:rsidR="00E75241" w:rsidRPr="002A4893">
              <w:rPr>
                <w:rFonts w:ascii="Times New Roman" w:hAnsi="Times New Roman" w:cs="Times New Roman"/>
                <w:b/>
                <w:sz w:val="24"/>
                <w:szCs w:val="24"/>
              </w:rPr>
              <w:t>домуване</w:t>
            </w:r>
            <w:proofErr w:type="spellEnd"/>
            <w:r w:rsidR="00E75241" w:rsidRPr="002A4893">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1" w:name="_Toc69388911"/>
      <w:r w:rsidRPr="008902B2">
        <w:rPr>
          <w:rFonts w:cs="Times New Roman"/>
          <w:color w:val="auto"/>
        </w:rPr>
        <w:lastRenderedPageBreak/>
        <w:t>14.3. Недопустими разходи:</w:t>
      </w:r>
      <w:bookmarkEnd w:id="21"/>
    </w:p>
    <w:tbl>
      <w:tblPr>
        <w:tblStyle w:val="TableGrid"/>
        <w:tblW w:w="5000" w:type="pct"/>
        <w:tblLook w:val="04A0" w:firstRow="1" w:lastRow="0" w:firstColumn="1" w:lastColumn="0" w:noHBand="0" w:noVBand="1"/>
      </w:tblPr>
      <w:tblGrid>
        <w:gridCol w:w="9855"/>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A4893">
              <w:rPr>
                <w:rFonts w:ascii="Times New Roman" w:eastAsiaTheme="minorEastAsia" w:hAnsi="Times New Roman" w:cs="Times New Roman"/>
                <w:sz w:val="24"/>
                <w:szCs w:val="24"/>
                <w:lang w:eastAsia="bg-BG"/>
              </w:rPr>
              <w:t>лизингодателя</w:t>
            </w:r>
            <w:proofErr w:type="spellEnd"/>
            <w:r w:rsidR="002F1BCB" w:rsidRPr="002A4893">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 xml:space="preserve">за сертификация по </w:t>
            </w:r>
            <w:proofErr w:type="spellStart"/>
            <w:r w:rsidRPr="002A4893">
              <w:rPr>
                <w:rFonts w:ascii="Times New Roman" w:eastAsiaTheme="minorEastAsia" w:hAnsi="Times New Roman" w:cs="Times New Roman"/>
                <w:sz w:val="24"/>
                <w:szCs w:val="24"/>
                <w:lang w:eastAsia="bg-BG"/>
              </w:rPr>
              <w:t>НАССР</w:t>
            </w:r>
            <w:proofErr w:type="spellEnd"/>
            <w:r w:rsidRPr="002A4893">
              <w:rPr>
                <w:rFonts w:ascii="Times New Roman" w:eastAsiaTheme="minorEastAsia" w:hAnsi="Times New Roman" w:cs="Times New Roman"/>
                <w:sz w:val="24"/>
                <w:szCs w:val="24"/>
                <w:lang w:eastAsia="bg-BG"/>
              </w:rPr>
              <w:t xml:space="preserve">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w:t>
            </w:r>
            <w:proofErr w:type="spellStart"/>
            <w:r w:rsidRPr="002A4893">
              <w:rPr>
                <w:rFonts w:ascii="Times New Roman" w:eastAsiaTheme="minorEastAsia" w:hAnsi="Times New Roman" w:cs="Times New Roman"/>
                <w:sz w:val="24"/>
                <w:szCs w:val="24"/>
                <w:lang w:eastAsia="bg-BG"/>
              </w:rPr>
              <w:t>01</w:t>
            </w:r>
            <w:proofErr w:type="spellEnd"/>
            <w:r w:rsidRPr="002A4893">
              <w:rPr>
                <w:rFonts w:ascii="Times New Roman" w:eastAsiaTheme="minorEastAsia" w:hAnsi="Times New Roman" w:cs="Times New Roman"/>
                <w:sz w:val="24"/>
                <w:szCs w:val="24"/>
                <w:lang w:eastAsia="bg-BG"/>
              </w:rPr>
              <w:t>.2014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w:t>
            </w:r>
            <w:proofErr w:type="spellStart"/>
            <w:r w:rsidRPr="002A4893">
              <w:rPr>
                <w:rFonts w:ascii="Times New Roman" w:eastAsiaTheme="minorEastAsia" w:hAnsi="Times New Roman" w:cs="Times New Roman"/>
                <w:sz w:val="24"/>
                <w:szCs w:val="24"/>
                <w:lang w:eastAsia="bg-BG"/>
              </w:rPr>
              <w:t>ЕСИФ</w:t>
            </w:r>
            <w:proofErr w:type="spellEnd"/>
            <w:r w:rsidRPr="002A4893">
              <w:rPr>
                <w:rFonts w:ascii="Times New Roman" w:eastAsiaTheme="minorEastAsia" w:hAnsi="Times New Roman" w:cs="Times New Roman"/>
                <w:sz w:val="24"/>
                <w:szCs w:val="24"/>
                <w:lang w:eastAsia="bg-BG"/>
              </w:rPr>
              <w:t xml:space="preserve">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A4893">
              <w:rPr>
                <w:rFonts w:ascii="Times New Roman" w:eastAsiaTheme="minorEastAsia" w:hAnsi="Times New Roman" w:cs="Times New Roman"/>
                <w:sz w:val="24"/>
                <w:szCs w:val="24"/>
                <w:lang w:eastAsia="bg-BG"/>
              </w:rPr>
              <w:t>общоприложими</w:t>
            </w:r>
            <w:proofErr w:type="spellEnd"/>
            <w:r w:rsidRPr="002A4893">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Pr="002A4893">
              <w:rPr>
                <w:rFonts w:ascii="Times New Roman" w:eastAsiaTheme="minorEastAsia" w:hAnsi="Times New Roman" w:cs="Times New Roman"/>
                <w:sz w:val="24"/>
                <w:szCs w:val="24"/>
                <w:lang w:eastAsia="bg-BG"/>
              </w:rPr>
              <w:t>Кохезионния</w:t>
            </w:r>
            <w:proofErr w:type="spellEnd"/>
            <w:r w:rsidRPr="002A4893">
              <w:rPr>
                <w:rFonts w:ascii="Times New Roman" w:eastAsiaTheme="minorEastAsia"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2A4893">
              <w:rPr>
                <w:rFonts w:ascii="Times New Roman" w:eastAsiaTheme="minorEastAsia" w:hAnsi="Times New Roman" w:cs="Times New Roman"/>
                <w:sz w:val="24"/>
                <w:szCs w:val="24"/>
                <w:lang w:eastAsia="bg-BG"/>
              </w:rPr>
              <w:t>Кохезионния</w:t>
            </w:r>
            <w:proofErr w:type="spellEnd"/>
            <w:r w:rsidRPr="002A4893">
              <w:rPr>
                <w:rFonts w:ascii="Times New Roman" w:eastAsiaTheme="minorEastAsia" w:hAnsi="Times New Roman" w:cs="Times New Roman"/>
                <w:sz w:val="24"/>
                <w:szCs w:val="24"/>
                <w:lang w:eastAsia="bg-BG"/>
              </w:rPr>
              <w:t xml:space="preserve"> фонд и Европейския фонд за морско дело и рибарство, и за отмяна на Регламент (ЕО) № 1083/2006 на Съвета (</w:t>
            </w:r>
            <w:proofErr w:type="spellStart"/>
            <w:r w:rsidRPr="002A4893">
              <w:rPr>
                <w:rFonts w:ascii="Times New Roman" w:eastAsiaTheme="minorEastAsia" w:hAnsi="Times New Roman" w:cs="Times New Roman"/>
                <w:sz w:val="24"/>
                <w:szCs w:val="24"/>
                <w:lang w:eastAsia="bg-BG"/>
              </w:rPr>
              <w:t>ОВ</w:t>
            </w:r>
            <w:proofErr w:type="spellEnd"/>
            <w:r w:rsidRPr="002A4893">
              <w:rPr>
                <w:rFonts w:ascii="Times New Roman" w:eastAsiaTheme="minorEastAsia" w:hAnsi="Times New Roman" w:cs="Times New Roman"/>
                <w:sz w:val="24"/>
                <w:szCs w:val="24"/>
                <w:lang w:eastAsia="bg-BG"/>
              </w:rPr>
              <w:t>,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w:t>
            </w:r>
            <w:proofErr w:type="spellStart"/>
            <w:r w:rsidR="00E858BA" w:rsidRPr="002A4893">
              <w:rPr>
                <w:rFonts w:ascii="Times New Roman" w:eastAsiaTheme="minorEastAsia" w:hAnsi="Times New Roman" w:cs="Times New Roman"/>
                <w:sz w:val="24"/>
                <w:szCs w:val="24"/>
                <w:lang w:eastAsia="bg-BG"/>
              </w:rPr>
              <w:t>1</w:t>
            </w:r>
            <w:proofErr w:type="spellEnd"/>
            <w:r w:rsidR="00E858BA" w:rsidRPr="002A4893">
              <w:rPr>
                <w:rFonts w:ascii="Times New Roman" w:eastAsiaTheme="minorEastAsia" w:hAnsi="Times New Roman" w:cs="Times New Roman"/>
                <w:sz w:val="24"/>
                <w:szCs w:val="24"/>
                <w:lang w:eastAsia="bg-BG"/>
              </w:rPr>
              <w:t xml:space="preserve">.6. от раздел 14.1. </w:t>
            </w:r>
            <w:r w:rsidR="00E858BA" w:rsidRPr="002A4893">
              <w:rPr>
                <w:rFonts w:ascii="Times New Roman" w:eastAsiaTheme="minorEastAsia" w:hAnsi="Times New Roman" w:cs="Times New Roman"/>
                <w:sz w:val="24"/>
                <w:szCs w:val="24"/>
                <w:lang w:eastAsia="bg-BG"/>
              </w:rPr>
              <w:lastRenderedPageBreak/>
              <w:t>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xml:space="preserve">. Разходи, включени в проектни предложения, на кандидати, които са заявени за подпомагане и 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5D6106" w:rsidRPr="002A4893">
              <w:rPr>
                <w:rFonts w:ascii="Times New Roman" w:eastAsiaTheme="minorEastAsia" w:hAnsi="Times New Roman" w:cs="Times New Roman"/>
                <w:sz w:val="24"/>
                <w:szCs w:val="24"/>
                <w:lang w:eastAsia="bg-BG"/>
              </w:rPr>
              <w:t>катастрофични</w:t>
            </w:r>
            <w:proofErr w:type="spellEnd"/>
            <w:r w:rsidR="005D6106" w:rsidRPr="002A4893">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proofErr w:type="spellStart"/>
            <w:r w:rsidR="005D6106" w:rsidRPr="002A4893">
              <w:rPr>
                <w:rFonts w:ascii="Times New Roman" w:eastAsiaTheme="minorEastAsia" w:hAnsi="Times New Roman" w:cs="Times New Roman"/>
                <w:sz w:val="24"/>
                <w:szCs w:val="24"/>
                <w:lang w:eastAsia="bg-BG"/>
              </w:rPr>
              <w:t>ПРСР</w:t>
            </w:r>
            <w:proofErr w:type="spellEnd"/>
            <w:r w:rsidR="005D6106" w:rsidRPr="002A4893">
              <w:rPr>
                <w:rFonts w:ascii="Times New Roman" w:eastAsiaTheme="minorEastAsia" w:hAnsi="Times New Roman" w:cs="Times New Roman"/>
                <w:sz w:val="24"/>
                <w:szCs w:val="24"/>
                <w:lang w:eastAsia="bg-BG"/>
              </w:rPr>
              <w:t xml:space="preserve">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2" w:name="_Toc69388912"/>
      <w:r w:rsidRPr="008902B2">
        <w:rPr>
          <w:rFonts w:cs="Times New Roman"/>
        </w:rPr>
        <w:lastRenderedPageBreak/>
        <w:t>15. Допустими целеви групи (ако е приложимо):</w:t>
      </w:r>
      <w:bookmarkEnd w:id="22"/>
    </w:p>
    <w:tbl>
      <w:tblPr>
        <w:tblStyle w:val="TableGrid"/>
        <w:tblW w:w="5000" w:type="pct"/>
        <w:tblLook w:val="04A0" w:firstRow="1" w:lastRow="0" w:firstColumn="1" w:lastColumn="0" w:noHBand="0" w:noVBand="1"/>
      </w:tblPr>
      <w:tblGrid>
        <w:gridCol w:w="9855"/>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3" w:name="_Toc69388913"/>
      <w:r w:rsidRPr="008902B2">
        <w:rPr>
          <w:rFonts w:cs="Times New Roman"/>
        </w:rPr>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855"/>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4" w:name="_Toc69388914"/>
      <w:r w:rsidRPr="008902B2">
        <w:rPr>
          <w:rFonts w:cs="Times New Roman"/>
        </w:rPr>
        <w:t>17. Хоризонтални политики:</w:t>
      </w:r>
      <w:bookmarkEnd w:id="24"/>
    </w:p>
    <w:tbl>
      <w:tblPr>
        <w:tblStyle w:val="TableGrid"/>
        <w:tblW w:w="5000" w:type="pct"/>
        <w:tblLook w:val="04A0" w:firstRow="1" w:lastRow="0" w:firstColumn="1" w:lastColumn="0" w:noHBand="0" w:noVBand="1"/>
      </w:tblPr>
      <w:tblGrid>
        <w:gridCol w:w="9855"/>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w:t>
            </w:r>
            <w:proofErr w:type="spellStart"/>
            <w:r w:rsidRPr="002A4893">
              <w:rPr>
                <w:rFonts w:ascii="Times New Roman" w:hAnsi="Times New Roman" w:cs="Times New Roman"/>
                <w:sz w:val="24"/>
                <w:szCs w:val="24"/>
              </w:rPr>
              <w:t>равнопоставеност</w:t>
            </w:r>
            <w:proofErr w:type="spellEnd"/>
            <w:r w:rsidRPr="002A4893">
              <w:rPr>
                <w:rFonts w:ascii="Times New Roman" w:hAnsi="Times New Roman" w:cs="Times New Roman"/>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2A4893">
              <w:rPr>
                <w:rFonts w:ascii="Times New Roman" w:hAnsi="Times New Roman" w:cs="Times New Roman"/>
                <w:sz w:val="24"/>
                <w:szCs w:val="24"/>
              </w:rPr>
              <w:t>равнопоставеността</w:t>
            </w:r>
            <w:proofErr w:type="spellEnd"/>
            <w:r w:rsidRPr="002A4893">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w:t>
            </w:r>
            <w:proofErr w:type="spellStart"/>
            <w:r w:rsidRPr="002A4893">
              <w:rPr>
                <w:rFonts w:ascii="Times New Roman" w:hAnsi="Times New Roman" w:cs="Times New Roman"/>
                <w:sz w:val="24"/>
                <w:szCs w:val="24"/>
              </w:rPr>
              <w:t>ИСУН</w:t>
            </w:r>
            <w:proofErr w:type="spellEnd"/>
            <w:r w:rsidRPr="002A4893">
              <w:rPr>
                <w:rFonts w:ascii="Times New Roman" w:hAnsi="Times New Roman" w:cs="Times New Roman"/>
                <w:sz w:val="24"/>
                <w:szCs w:val="24"/>
              </w:rPr>
              <w:t xml:space="preserve">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5" w:name="_Toc69388915"/>
      <w:r w:rsidRPr="008902B2">
        <w:rPr>
          <w:rFonts w:cs="Times New Roman"/>
        </w:rPr>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855"/>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proofErr w:type="spellStart"/>
            <w:r w:rsidR="004029D1" w:rsidRPr="002A4893">
              <w:rPr>
                <w:rFonts w:ascii="Times New Roman" w:hAnsi="Times New Roman" w:cs="Times New Roman"/>
                <w:sz w:val="24"/>
                <w:szCs w:val="24"/>
              </w:rPr>
              <w:t>СМР</w:t>
            </w:r>
            <w:proofErr w:type="spellEnd"/>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6" w:name="_Toc69388916"/>
      <w:r w:rsidRPr="008902B2">
        <w:rPr>
          <w:rFonts w:cs="Times New Roman"/>
        </w:rPr>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855"/>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7" w:name="_Toc69388917"/>
      <w:r w:rsidRPr="008902B2">
        <w:rPr>
          <w:rFonts w:cs="Times New Roman"/>
        </w:rPr>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855"/>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8" w:name="_Toc69388918"/>
      <w:r w:rsidRPr="008902B2">
        <w:rPr>
          <w:rFonts w:cs="Times New Roman"/>
        </w:rPr>
        <w:lastRenderedPageBreak/>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855"/>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w:t>
            </w:r>
            <w:proofErr w:type="spellStart"/>
            <w:r w:rsidR="00E54DF7" w:rsidRPr="002A4893">
              <w:rPr>
                <w:rFonts w:ascii="Times New Roman" w:hAnsi="Times New Roman" w:cs="Times New Roman"/>
                <w:sz w:val="24"/>
                <w:szCs w:val="24"/>
              </w:rPr>
              <w:t>ДФЗ-РА</w:t>
            </w:r>
            <w:proofErr w:type="spellEnd"/>
            <w:r w:rsidR="00E54DF7" w:rsidRPr="002A4893">
              <w:rPr>
                <w:rFonts w:ascii="Times New Roman" w:hAnsi="Times New Roman" w:cs="Times New Roman"/>
                <w:sz w:val="24"/>
                <w:szCs w:val="24"/>
              </w:rPr>
              <w:t>)</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w:t>
            </w:r>
            <w:proofErr w:type="spellStart"/>
            <w:r w:rsidR="00916709" w:rsidRPr="002A4893">
              <w:rPr>
                <w:rFonts w:ascii="Times New Roman" w:hAnsi="Times New Roman" w:cs="Times New Roman"/>
                <w:sz w:val="24"/>
                <w:szCs w:val="24"/>
              </w:rPr>
              <w:t>ДФЗ-РА</w:t>
            </w:r>
            <w:proofErr w:type="spellEnd"/>
            <w:r w:rsidR="00916709" w:rsidRPr="002A4893">
              <w:rPr>
                <w:rFonts w:ascii="Times New Roman" w:hAnsi="Times New Roman" w:cs="Times New Roman"/>
                <w:sz w:val="24"/>
                <w:szCs w:val="24"/>
              </w:rPr>
              <w:t xml:space="preserve">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29"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29"/>
    </w:p>
    <w:tbl>
      <w:tblPr>
        <w:tblStyle w:val="TableGrid"/>
        <w:tblW w:w="5000" w:type="pct"/>
        <w:tblLook w:val="04A0" w:firstRow="1" w:lastRow="0" w:firstColumn="1" w:lastColumn="0" w:noHBand="0" w:noVBand="1"/>
      </w:tblPr>
      <w:tblGrid>
        <w:gridCol w:w="9855"/>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A4893">
              <w:rPr>
                <w:rFonts w:ascii="Times New Roman" w:eastAsia="Times New Roman" w:hAnsi="Times New Roman" w:cs="Times New Roman"/>
                <w:sz w:val="24"/>
                <w:szCs w:val="24"/>
              </w:rPr>
              <w:t>ите</w:t>
            </w:r>
            <w:proofErr w:type="spellEnd"/>
            <w:r w:rsidRPr="002A4893">
              <w:rPr>
                <w:rFonts w:ascii="Times New Roman" w:eastAsia="Times New Roman" w:hAnsi="Times New Roman" w:cs="Times New Roman"/>
                <w:sz w:val="24"/>
                <w:szCs w:val="24"/>
              </w:rPr>
              <w:t xml:space="preserve"> на </w:t>
            </w:r>
            <w:proofErr w:type="spellStart"/>
            <w:r w:rsidRPr="002A4893">
              <w:rPr>
                <w:rFonts w:ascii="Times New Roman" w:eastAsia="Times New Roman" w:hAnsi="Times New Roman" w:cs="Times New Roman"/>
                <w:sz w:val="24"/>
                <w:szCs w:val="24"/>
              </w:rPr>
              <w:t>ДФЗ</w:t>
            </w:r>
            <w:proofErr w:type="spellEnd"/>
            <w:r w:rsidRPr="002A4893">
              <w:rPr>
                <w:rFonts w:ascii="Times New Roman" w:eastAsia="Times New Roman" w:hAnsi="Times New Roman" w:cs="Times New Roman"/>
                <w:sz w:val="24"/>
                <w:szCs w:val="24"/>
              </w:rPr>
              <w:t xml:space="preserve"> - </w:t>
            </w:r>
            <w:proofErr w:type="spellStart"/>
            <w:r w:rsidRPr="002A4893">
              <w:rPr>
                <w:rFonts w:ascii="Times New Roman" w:eastAsia="Times New Roman" w:hAnsi="Times New Roman" w:cs="Times New Roman"/>
                <w:sz w:val="24"/>
                <w:szCs w:val="24"/>
              </w:rPr>
              <w:t>РА</w:t>
            </w:r>
            <w:proofErr w:type="spellEnd"/>
            <w:r w:rsidRPr="002A4893">
              <w:rPr>
                <w:rFonts w:ascii="Times New Roman" w:eastAsia="Times New Roman" w:hAnsi="Times New Roman" w:cs="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w:t>
            </w:r>
            <w:proofErr w:type="spellStart"/>
            <w:r w:rsidRPr="002A4893">
              <w:rPr>
                <w:rFonts w:ascii="Times New Roman" w:eastAsia="Times New Roman" w:hAnsi="Times New Roman" w:cs="Times New Roman"/>
                <w:sz w:val="24"/>
                <w:szCs w:val="24"/>
              </w:rPr>
              <w:t>ИСУН</w:t>
            </w:r>
            <w:proofErr w:type="spellEnd"/>
            <w:r w:rsidRPr="002A4893">
              <w:rPr>
                <w:rFonts w:ascii="Times New Roman" w:eastAsia="Times New Roman" w:hAnsi="Times New Roman" w:cs="Times New Roman"/>
                <w:sz w:val="24"/>
                <w:szCs w:val="24"/>
              </w:rPr>
              <w:t xml:space="preserve">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w:t>
            </w:r>
            <w:proofErr w:type="spellStart"/>
            <w:r w:rsidRPr="002A4893">
              <w:rPr>
                <w:rFonts w:ascii="Times New Roman" w:eastAsia="Times New Roman" w:hAnsi="Times New Roman" w:cs="Times New Roman"/>
                <w:sz w:val="24"/>
                <w:szCs w:val="24"/>
              </w:rPr>
              <w:t>ИСУН</w:t>
            </w:r>
            <w:proofErr w:type="spellEnd"/>
            <w:r w:rsidRPr="002A4893">
              <w:rPr>
                <w:rFonts w:ascii="Times New Roman" w:eastAsia="Times New Roman" w:hAnsi="Times New Roman" w:cs="Times New Roman"/>
                <w:sz w:val="24"/>
                <w:szCs w:val="24"/>
              </w:rPr>
              <w:t xml:space="preserve"> 2020 да направи </w:t>
            </w:r>
            <w:r w:rsidRPr="002A4893">
              <w:rPr>
                <w:rFonts w:ascii="Times New Roman" w:eastAsia="Times New Roman" w:hAnsi="Times New Roman" w:cs="Times New Roman"/>
                <w:sz w:val="24"/>
                <w:szCs w:val="24"/>
              </w:rPr>
              <w:lastRenderedPageBreak/>
              <w:t xml:space="preserve">възражения и да даде обяснения по направените констатации пред изпълнителния директор на </w:t>
            </w:r>
            <w:proofErr w:type="spellStart"/>
            <w:r w:rsidRPr="002A4893">
              <w:rPr>
                <w:rFonts w:ascii="Times New Roman" w:eastAsia="Times New Roman" w:hAnsi="Times New Roman" w:cs="Times New Roman"/>
                <w:sz w:val="24"/>
                <w:szCs w:val="24"/>
              </w:rPr>
              <w:t>ДФЗ</w:t>
            </w:r>
            <w:proofErr w:type="spellEnd"/>
            <w:r w:rsidRPr="002A4893">
              <w:rPr>
                <w:rFonts w:ascii="Times New Roman" w:eastAsia="Times New Roman" w:hAnsi="Times New Roman" w:cs="Times New Roman"/>
                <w:sz w:val="24"/>
                <w:szCs w:val="24"/>
              </w:rPr>
              <w:t xml:space="preserve"> - </w:t>
            </w:r>
            <w:proofErr w:type="spellStart"/>
            <w:r w:rsidRPr="002A4893">
              <w:rPr>
                <w:rFonts w:ascii="Times New Roman" w:eastAsia="Times New Roman" w:hAnsi="Times New Roman" w:cs="Times New Roman"/>
                <w:sz w:val="24"/>
                <w:szCs w:val="24"/>
              </w:rPr>
              <w:t>РА</w:t>
            </w:r>
            <w:proofErr w:type="spellEnd"/>
            <w:r w:rsidRPr="002A4893">
              <w:rPr>
                <w:rFonts w:ascii="Times New Roman" w:eastAsia="Times New Roman" w:hAnsi="Times New Roman" w:cs="Times New Roman"/>
                <w:sz w:val="24"/>
                <w:szCs w:val="24"/>
              </w:rPr>
              <w:t xml:space="preserve">.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w:t>
            </w:r>
            <w:proofErr w:type="spellStart"/>
            <w:r w:rsidR="00394B13" w:rsidRPr="002A4893">
              <w:rPr>
                <w:rFonts w:ascii="Times New Roman" w:eastAsia="Times New Roman" w:hAnsi="Times New Roman" w:cs="Times New Roman"/>
                <w:sz w:val="24"/>
                <w:szCs w:val="24"/>
              </w:rPr>
              <w:t>ИСУН</w:t>
            </w:r>
            <w:proofErr w:type="spellEnd"/>
            <w:r w:rsidR="00394B13" w:rsidRPr="002A4893">
              <w:rPr>
                <w:rFonts w:ascii="Times New Roman" w:eastAsia="Times New Roman" w:hAnsi="Times New Roman" w:cs="Times New Roman"/>
                <w:sz w:val="24"/>
                <w:szCs w:val="24"/>
              </w:rPr>
              <w:t xml:space="preserve"> 2020 за установените липси/</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0" w:name="_Toc505244381"/>
            <w:r w:rsidR="00916709" w:rsidRPr="002A4893">
              <w:rPr>
                <w:rFonts w:ascii="Times New Roman" w:eastAsia="Times New Roman" w:hAnsi="Times New Roman" w:cs="Times New Roman"/>
                <w:sz w:val="24"/>
                <w:szCs w:val="24"/>
              </w:rPr>
              <w:t xml:space="preserve">Представени след този срок данни и/или документи, както и такива, които не са изрично изискани от </w:t>
            </w:r>
            <w:proofErr w:type="spellStart"/>
            <w:r w:rsidR="00916709" w:rsidRPr="002A4893">
              <w:rPr>
                <w:rFonts w:ascii="Times New Roman" w:eastAsia="Times New Roman" w:hAnsi="Times New Roman" w:cs="Times New Roman"/>
                <w:sz w:val="24"/>
                <w:szCs w:val="24"/>
              </w:rPr>
              <w:t>РА</w:t>
            </w:r>
            <w:proofErr w:type="spellEnd"/>
            <w:r w:rsidR="00916709" w:rsidRPr="002A4893">
              <w:rPr>
                <w:rFonts w:ascii="Times New Roman" w:eastAsia="Times New Roman" w:hAnsi="Times New Roman" w:cs="Times New Roman"/>
                <w:sz w:val="24"/>
                <w:szCs w:val="24"/>
              </w:rPr>
              <w:t>,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xml:space="preserve">. Уведомлението съдържа и информация, че неотстраняването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0"/>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xml:space="preserve">. След приключване на оценката на административното съответствие и допустимостта, на интернет страницата на </w:t>
            </w:r>
            <w:proofErr w:type="spellStart"/>
            <w:r w:rsidR="00394B13" w:rsidRPr="002A4893">
              <w:rPr>
                <w:rFonts w:ascii="Times New Roman" w:eastAsia="Times New Roman" w:hAnsi="Times New Roman" w:cs="Times New Roman"/>
                <w:sz w:val="24"/>
                <w:szCs w:val="24"/>
              </w:rPr>
              <w:t>ДФЗ</w:t>
            </w:r>
            <w:proofErr w:type="spellEnd"/>
            <w:r w:rsidR="00394B13" w:rsidRPr="002A4893">
              <w:rPr>
                <w:rFonts w:ascii="Times New Roman" w:eastAsia="Times New Roman" w:hAnsi="Times New Roman" w:cs="Times New Roman"/>
                <w:sz w:val="24"/>
                <w:szCs w:val="24"/>
              </w:rPr>
              <w:t xml:space="preserve"> - </w:t>
            </w:r>
            <w:proofErr w:type="spellStart"/>
            <w:r w:rsidR="00394B13" w:rsidRPr="002A4893">
              <w:rPr>
                <w:rFonts w:ascii="Times New Roman" w:eastAsia="Times New Roman" w:hAnsi="Times New Roman" w:cs="Times New Roman"/>
                <w:sz w:val="24"/>
                <w:szCs w:val="24"/>
              </w:rPr>
              <w:t>РА</w:t>
            </w:r>
            <w:proofErr w:type="spellEnd"/>
            <w:r w:rsidR="00394B13" w:rsidRPr="002A4893">
              <w:rPr>
                <w:rFonts w:ascii="Times New Roman" w:eastAsia="Times New Roman" w:hAnsi="Times New Roman" w:cs="Times New Roman"/>
                <w:sz w:val="24"/>
                <w:szCs w:val="24"/>
              </w:rPr>
              <w:t xml:space="preserve"> (</w:t>
            </w:r>
            <w:hyperlink r:id="rId14" w:history="1">
              <w:r w:rsidR="00394B13" w:rsidRPr="002A4893">
                <w:rPr>
                  <w:rStyle w:val="Hyperlink"/>
                  <w:rFonts w:ascii="Times New Roman" w:eastAsia="Times New Roman" w:hAnsi="Times New Roman" w:cs="Times New Roman"/>
                  <w:color w:val="auto"/>
                  <w:sz w:val="24"/>
                  <w:szCs w:val="24"/>
                </w:rPr>
                <w:t>www.</w:t>
              </w:r>
              <w:r w:rsidR="00394B13" w:rsidRPr="002A4893">
                <w:rPr>
                  <w:rStyle w:val="Hyperlink"/>
                  <w:rFonts w:ascii="Times New Roman" w:eastAsia="Times New Roman" w:hAnsi="Times New Roman" w:cs="Times New Roman"/>
                  <w:color w:val="auto"/>
                  <w:sz w:val="24"/>
                  <w:szCs w:val="24"/>
                  <w:lang w:val="en-US"/>
                </w:rPr>
                <w:t>dfz</w:t>
              </w:r>
              <w:r w:rsidR="00394B13" w:rsidRPr="002A4893">
                <w:rPr>
                  <w:rStyle w:val="Hyperlink"/>
                  <w:rFonts w:ascii="Times New Roman" w:eastAsia="Times New Roman" w:hAnsi="Times New Roman" w:cs="Times New Roman"/>
                  <w:color w:val="auto"/>
                  <w:sz w:val="24"/>
                  <w:szCs w:val="24"/>
                </w:rPr>
                <w:t>.</w:t>
              </w:r>
              <w:proofErr w:type="spellStart"/>
              <w:r w:rsidR="00394B13" w:rsidRPr="002A4893">
                <w:rPr>
                  <w:rStyle w:val="Hyperlink"/>
                  <w:rFonts w:ascii="Times New Roman" w:eastAsia="Times New Roman" w:hAnsi="Times New Roman" w:cs="Times New Roman"/>
                  <w:color w:val="auto"/>
                  <w:sz w:val="24"/>
                  <w:szCs w:val="24"/>
                  <w:lang w:val="en-US"/>
                </w:rPr>
                <w:t>bg</w:t>
              </w:r>
              <w:proofErr w:type="spellEnd"/>
            </w:hyperlink>
            <w:r w:rsidR="00394B13" w:rsidRPr="002A4893">
              <w:rPr>
                <w:rFonts w:ascii="Times New Roman" w:eastAsia="Times New Roman" w:hAnsi="Times New Roman" w:cs="Times New Roman"/>
                <w:sz w:val="24"/>
                <w:szCs w:val="24"/>
              </w:rPr>
              <w:t xml:space="preserve">) и в </w:t>
            </w:r>
            <w:proofErr w:type="spellStart"/>
            <w:r w:rsidR="00394B13" w:rsidRPr="002A4893">
              <w:rPr>
                <w:rFonts w:ascii="Times New Roman" w:eastAsia="Times New Roman" w:hAnsi="Times New Roman" w:cs="Times New Roman"/>
                <w:sz w:val="24"/>
                <w:szCs w:val="24"/>
              </w:rPr>
              <w:t>ИСУН</w:t>
            </w:r>
            <w:proofErr w:type="spellEnd"/>
            <w:r w:rsidR="00394B13" w:rsidRPr="002A4893">
              <w:rPr>
                <w:rFonts w:ascii="Times New Roman" w:eastAsia="Times New Roman" w:hAnsi="Times New Roman" w:cs="Times New Roman"/>
                <w:sz w:val="24"/>
                <w:szCs w:val="24"/>
              </w:rPr>
              <w:t xml:space="preserve">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w:t>
            </w:r>
            <w:proofErr w:type="spellStart"/>
            <w:r w:rsidR="00394B13" w:rsidRPr="002A4893">
              <w:rPr>
                <w:rFonts w:ascii="Times New Roman" w:eastAsia="Times New Roman" w:hAnsi="Times New Roman" w:cs="Times New Roman"/>
                <w:sz w:val="24"/>
                <w:szCs w:val="24"/>
              </w:rPr>
              <w:t>ДФЗ</w:t>
            </w:r>
            <w:proofErr w:type="spellEnd"/>
            <w:r w:rsidR="00394B13" w:rsidRPr="002A4893">
              <w:rPr>
                <w:rFonts w:ascii="Times New Roman" w:eastAsia="Times New Roman" w:hAnsi="Times New Roman" w:cs="Times New Roman"/>
                <w:sz w:val="24"/>
                <w:szCs w:val="24"/>
              </w:rPr>
              <w:t xml:space="preserve"> - </w:t>
            </w:r>
            <w:proofErr w:type="spellStart"/>
            <w:r w:rsidR="00394B13" w:rsidRPr="002A4893">
              <w:rPr>
                <w:rFonts w:ascii="Times New Roman" w:eastAsia="Times New Roman" w:hAnsi="Times New Roman" w:cs="Times New Roman"/>
                <w:sz w:val="24"/>
                <w:szCs w:val="24"/>
              </w:rPr>
              <w:t>РА</w:t>
            </w:r>
            <w:proofErr w:type="spellEnd"/>
            <w:r w:rsidR="00394B13" w:rsidRPr="002A4893">
              <w:rPr>
                <w:rFonts w:ascii="Times New Roman" w:eastAsia="Times New Roman" w:hAnsi="Times New Roman" w:cs="Times New Roman"/>
                <w:sz w:val="24"/>
                <w:szCs w:val="24"/>
              </w:rPr>
              <w:t xml:space="preserve"> в едноседмичен срок от съобщението на електронната страница на </w:t>
            </w:r>
            <w:proofErr w:type="spellStart"/>
            <w:r w:rsidR="00394B13" w:rsidRPr="002A4893">
              <w:rPr>
                <w:rFonts w:ascii="Times New Roman" w:eastAsia="Times New Roman" w:hAnsi="Times New Roman" w:cs="Times New Roman"/>
                <w:sz w:val="24"/>
                <w:szCs w:val="24"/>
              </w:rPr>
              <w:t>ДФЗ-РА</w:t>
            </w:r>
            <w:proofErr w:type="spellEnd"/>
            <w:r w:rsidR="00394B13" w:rsidRPr="002A4893">
              <w:rPr>
                <w:rFonts w:ascii="Times New Roman" w:eastAsia="Times New Roman" w:hAnsi="Times New Roman" w:cs="Times New Roman"/>
                <w:sz w:val="24"/>
                <w:szCs w:val="24"/>
              </w:rPr>
              <w:t xml:space="preserve">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w:t>
            </w:r>
            <w:proofErr w:type="spellStart"/>
            <w:r w:rsidR="00254D32" w:rsidRPr="002A4893">
              <w:rPr>
                <w:rFonts w:ascii="Times New Roman" w:eastAsia="Times New Roman" w:hAnsi="Times New Roman" w:cs="Times New Roman"/>
                <w:sz w:val="24"/>
                <w:szCs w:val="24"/>
              </w:rPr>
              <w:t>ИСУН</w:t>
            </w:r>
            <w:proofErr w:type="spellEnd"/>
            <w:r w:rsidR="00254D32"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w:t>
            </w:r>
            <w:proofErr w:type="spellStart"/>
            <w:r w:rsidR="00394B13" w:rsidRPr="002A4893">
              <w:rPr>
                <w:rFonts w:ascii="Times New Roman" w:eastAsia="Times New Roman" w:hAnsi="Times New Roman" w:cs="Times New Roman"/>
                <w:sz w:val="24"/>
                <w:szCs w:val="24"/>
              </w:rPr>
              <w:t>ДФЗ</w:t>
            </w:r>
            <w:proofErr w:type="spellEnd"/>
            <w:r w:rsidR="00394B13" w:rsidRPr="002A4893">
              <w:rPr>
                <w:rFonts w:ascii="Times New Roman" w:eastAsia="Times New Roman" w:hAnsi="Times New Roman" w:cs="Times New Roman"/>
                <w:sz w:val="24"/>
                <w:szCs w:val="24"/>
              </w:rPr>
              <w:t xml:space="preserve"> - </w:t>
            </w:r>
            <w:proofErr w:type="spellStart"/>
            <w:r w:rsidR="00394B13" w:rsidRPr="002A4893">
              <w:rPr>
                <w:rFonts w:ascii="Times New Roman" w:eastAsia="Times New Roman" w:hAnsi="Times New Roman" w:cs="Times New Roman"/>
                <w:sz w:val="24"/>
                <w:szCs w:val="24"/>
              </w:rPr>
              <w:t>РА</w:t>
            </w:r>
            <w:proofErr w:type="spellEnd"/>
            <w:r w:rsidR="00394B13" w:rsidRPr="002A4893">
              <w:rPr>
                <w:rFonts w:ascii="Times New Roman" w:eastAsia="Times New Roman" w:hAnsi="Times New Roman" w:cs="Times New Roman"/>
                <w:sz w:val="24"/>
                <w:szCs w:val="24"/>
              </w:rPr>
              <w:t xml:space="preserve"> </w:t>
            </w:r>
            <w:r w:rsidR="00A43A03" w:rsidRPr="002A4893">
              <w:rPr>
                <w:rFonts w:ascii="Times New Roman" w:eastAsia="Times New Roman" w:hAnsi="Times New Roman" w:cs="Times New Roman"/>
                <w:sz w:val="24"/>
                <w:szCs w:val="24"/>
              </w:rPr>
              <w:t xml:space="preserve">чрез </w:t>
            </w:r>
            <w:proofErr w:type="spellStart"/>
            <w:r w:rsidR="00A43A03" w:rsidRPr="002A4893">
              <w:rPr>
                <w:rFonts w:ascii="Times New Roman" w:eastAsia="Times New Roman" w:hAnsi="Times New Roman" w:cs="Times New Roman"/>
                <w:sz w:val="24"/>
                <w:szCs w:val="24"/>
              </w:rPr>
              <w:t>ИСУН</w:t>
            </w:r>
            <w:proofErr w:type="spellEnd"/>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изпълнителният директор на </w:t>
            </w:r>
            <w:proofErr w:type="spellStart"/>
            <w:r w:rsidR="00394B13" w:rsidRPr="002A4893">
              <w:rPr>
                <w:rFonts w:ascii="Times New Roman" w:eastAsia="Times New Roman" w:hAnsi="Times New Roman" w:cs="Times New Roman"/>
                <w:sz w:val="24"/>
                <w:szCs w:val="24"/>
              </w:rPr>
              <w:t>ДФЗ</w:t>
            </w:r>
            <w:proofErr w:type="spellEnd"/>
            <w:r w:rsidR="00394B13" w:rsidRPr="002A4893">
              <w:rPr>
                <w:rFonts w:ascii="Times New Roman" w:eastAsia="Times New Roman" w:hAnsi="Times New Roman" w:cs="Times New Roman"/>
                <w:sz w:val="24"/>
                <w:szCs w:val="24"/>
              </w:rPr>
              <w:t xml:space="preserve"> - </w:t>
            </w:r>
            <w:proofErr w:type="spellStart"/>
            <w:r w:rsidR="00394B13" w:rsidRPr="002A4893">
              <w:rPr>
                <w:rFonts w:ascii="Times New Roman" w:eastAsia="Times New Roman" w:hAnsi="Times New Roman" w:cs="Times New Roman"/>
                <w:sz w:val="24"/>
                <w:szCs w:val="24"/>
              </w:rPr>
              <w:t>РА</w:t>
            </w:r>
            <w:proofErr w:type="spellEnd"/>
            <w:r w:rsidR="00394B13" w:rsidRPr="002A4893">
              <w:rPr>
                <w:rFonts w:ascii="Times New Roman" w:eastAsia="Times New Roman" w:hAnsi="Times New Roman" w:cs="Times New Roman"/>
                <w:sz w:val="24"/>
                <w:szCs w:val="24"/>
              </w:rPr>
              <w:t xml:space="preserve"> прекратява образуваното пред него административно </w:t>
            </w:r>
            <w:r w:rsidR="00394B13" w:rsidRPr="002A4893">
              <w:rPr>
                <w:rFonts w:ascii="Times New Roman" w:eastAsia="Times New Roman" w:hAnsi="Times New Roman" w:cs="Times New Roman"/>
                <w:sz w:val="24"/>
                <w:szCs w:val="24"/>
              </w:rPr>
              <w:lastRenderedPageBreak/>
              <w:t>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w:t>
            </w:r>
            <w:proofErr w:type="spellStart"/>
            <w:r w:rsidR="00394B13" w:rsidRPr="002A4893">
              <w:rPr>
                <w:rFonts w:ascii="Times New Roman" w:eastAsia="Times New Roman" w:hAnsi="Times New Roman" w:cs="Times New Roman"/>
                <w:sz w:val="24"/>
                <w:szCs w:val="24"/>
              </w:rPr>
              <w:t>ИСУН</w:t>
            </w:r>
            <w:proofErr w:type="spellEnd"/>
            <w:r w:rsidR="00394B13" w:rsidRPr="002A4893">
              <w:rPr>
                <w:rFonts w:ascii="Times New Roman" w:eastAsia="Times New Roman" w:hAnsi="Times New Roman" w:cs="Times New Roman"/>
                <w:sz w:val="24"/>
                <w:szCs w:val="24"/>
              </w:rPr>
              <w:t xml:space="preserve">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w:t>
            </w:r>
            <w:proofErr w:type="spellStart"/>
            <w:r w:rsidR="00394B13" w:rsidRPr="002A4893">
              <w:rPr>
                <w:rFonts w:ascii="Times New Roman" w:eastAsia="Times New Roman" w:hAnsi="Times New Roman" w:cs="Times New Roman"/>
                <w:sz w:val="24"/>
                <w:szCs w:val="24"/>
              </w:rPr>
              <w:t>БФП</w:t>
            </w:r>
            <w:proofErr w:type="spellEnd"/>
            <w:r w:rsidR="00394B13" w:rsidRPr="002A4893">
              <w:rPr>
                <w:rFonts w:ascii="Times New Roman" w:eastAsia="Times New Roman" w:hAnsi="Times New Roman" w:cs="Times New Roman"/>
                <w:sz w:val="24"/>
                <w:szCs w:val="24"/>
              </w:rPr>
              <w:t xml:space="preserve"> - от определени от изпълнителния директор на </w:t>
            </w:r>
            <w:proofErr w:type="spellStart"/>
            <w:r w:rsidR="00394B13" w:rsidRPr="002A4893">
              <w:rPr>
                <w:rFonts w:ascii="Times New Roman" w:eastAsia="Times New Roman" w:hAnsi="Times New Roman" w:cs="Times New Roman"/>
                <w:sz w:val="24"/>
                <w:szCs w:val="24"/>
              </w:rPr>
              <w:t>ДФЗ</w:t>
            </w:r>
            <w:proofErr w:type="spellEnd"/>
            <w:r w:rsidR="00394B13" w:rsidRPr="002A4893">
              <w:rPr>
                <w:rFonts w:ascii="Times New Roman" w:eastAsia="Times New Roman" w:hAnsi="Times New Roman" w:cs="Times New Roman"/>
                <w:sz w:val="24"/>
                <w:szCs w:val="24"/>
              </w:rPr>
              <w:t xml:space="preserve"> - </w:t>
            </w:r>
            <w:proofErr w:type="spellStart"/>
            <w:r w:rsidR="00394B13" w:rsidRPr="002A4893">
              <w:rPr>
                <w:rFonts w:ascii="Times New Roman" w:eastAsia="Times New Roman" w:hAnsi="Times New Roman" w:cs="Times New Roman"/>
                <w:sz w:val="24"/>
                <w:szCs w:val="24"/>
              </w:rPr>
              <w:t>РА</w:t>
            </w:r>
            <w:proofErr w:type="spellEnd"/>
            <w:r w:rsidR="00394B13" w:rsidRPr="002A4893">
              <w:rPr>
                <w:rFonts w:ascii="Times New Roman" w:eastAsia="Times New Roman" w:hAnsi="Times New Roman" w:cs="Times New Roman"/>
                <w:sz w:val="24"/>
                <w:szCs w:val="24"/>
              </w:rPr>
              <w:t xml:space="preserve">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w:t>
            </w:r>
            <w:proofErr w:type="spellStart"/>
            <w:r w:rsidRPr="00B83087">
              <w:rPr>
                <w:b/>
              </w:rPr>
              <w:t>СМР</w:t>
            </w:r>
            <w:proofErr w:type="spellEnd"/>
            <w:r w:rsidRPr="00B83087">
              <w:rPr>
                <w:b/>
              </w:rPr>
              <w:t xml:space="preserve">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както и разрешително за </w:t>
            </w:r>
            <w:proofErr w:type="spellStart"/>
            <w:r w:rsidRPr="002A4893">
              <w:rPr>
                <w:rFonts w:ascii="Times New Roman" w:hAnsi="Times New Roman" w:cs="Times New Roman"/>
                <w:b/>
                <w:sz w:val="24"/>
                <w:szCs w:val="24"/>
              </w:rPr>
              <w:t>водовземане</w:t>
            </w:r>
            <w:proofErr w:type="spellEnd"/>
            <w:r w:rsidRPr="002A4893">
              <w:rPr>
                <w:rFonts w:ascii="Times New Roman" w:hAnsi="Times New Roman" w:cs="Times New Roman"/>
                <w:b/>
                <w:sz w:val="24"/>
                <w:szCs w:val="24"/>
              </w:rPr>
              <w:t xml:space="preserve">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w:t>
            </w:r>
            <w:proofErr w:type="spellStart"/>
            <w:r w:rsidRPr="002A4893">
              <w:rPr>
                <w:rFonts w:ascii="Times New Roman" w:hAnsi="Times New Roman" w:cs="Times New Roman"/>
                <w:b/>
                <w:sz w:val="24"/>
                <w:szCs w:val="24"/>
              </w:rPr>
              <w:t>компетентия</w:t>
            </w:r>
            <w:proofErr w:type="spellEnd"/>
            <w:r w:rsidRPr="002A4893">
              <w:rPr>
                <w:rFonts w:ascii="Times New Roman" w:hAnsi="Times New Roman" w:cs="Times New Roman"/>
                <w:b/>
                <w:sz w:val="24"/>
                <w:szCs w:val="24"/>
              </w:rPr>
              <w:t xml:space="preserve"> орган, от което да е видно, причината поради която не е издаден </w:t>
            </w:r>
            <w:r w:rsidRPr="002A4893">
              <w:rPr>
                <w:rFonts w:ascii="Times New Roman" w:hAnsi="Times New Roman" w:cs="Times New Roman"/>
                <w:b/>
                <w:sz w:val="24"/>
                <w:szCs w:val="24"/>
              </w:rPr>
              <w:lastRenderedPageBreak/>
              <w:t>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1"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1"/>
    </w:p>
    <w:tbl>
      <w:tblPr>
        <w:tblStyle w:val="TableGrid"/>
        <w:tblW w:w="5000" w:type="pct"/>
        <w:tblLook w:val="04A0" w:firstRow="1" w:lastRow="0" w:firstColumn="1" w:lastColumn="0" w:noHBand="0" w:noVBand="1"/>
      </w:tblPr>
      <w:tblGrid>
        <w:gridCol w:w="9855"/>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w:t>
            </w:r>
            <w:proofErr w:type="spellStart"/>
            <w:r w:rsidRPr="002A4893">
              <w:rPr>
                <w:rFonts w:ascii="Times New Roman" w:hAnsi="Times New Roman" w:cs="Times New Roman"/>
                <w:sz w:val="24"/>
                <w:szCs w:val="24"/>
              </w:rPr>
              <w:t>ИСУН</w:t>
            </w:r>
            <w:proofErr w:type="spellEnd"/>
            <w:r w:rsidRPr="002A4893">
              <w:rPr>
                <w:rFonts w:ascii="Times New Roman" w:hAnsi="Times New Roman" w:cs="Times New Roman"/>
                <w:sz w:val="24"/>
                <w:szCs w:val="24"/>
              </w:rPr>
              <w:t xml:space="preserve">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w:t>
            </w:r>
            <w:proofErr w:type="spellStart"/>
            <w:r w:rsidR="00DB0BAC" w:rsidRPr="002A4893">
              <w:rPr>
                <w:rFonts w:ascii="Times New Roman" w:hAnsi="Times New Roman" w:cs="Times New Roman"/>
                <w:sz w:val="24"/>
                <w:szCs w:val="24"/>
              </w:rPr>
              <w:t>водовземане</w:t>
            </w:r>
            <w:proofErr w:type="spellEnd"/>
            <w:r w:rsidR="00DB0BAC" w:rsidRPr="002A4893">
              <w:rPr>
                <w:rFonts w:ascii="Times New Roman" w:hAnsi="Times New Roman" w:cs="Times New Roman"/>
                <w:sz w:val="24"/>
                <w:szCs w:val="24"/>
              </w:rPr>
              <w:t xml:space="preserve">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A4893">
              <w:rPr>
                <w:rFonts w:ascii="Times New Roman" w:hAnsi="Times New Roman" w:cs="Times New Roman"/>
                <w:sz w:val="24"/>
                <w:szCs w:val="24"/>
              </w:rPr>
              <w:t>правноорганизационната</w:t>
            </w:r>
            <w:proofErr w:type="spellEnd"/>
            <w:r w:rsidRPr="002A489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 xml:space="preserve">те по т. 4.2. от раздел 10. „Процент на </w:t>
            </w:r>
            <w:proofErr w:type="spellStart"/>
            <w:r w:rsidR="004E646E" w:rsidRPr="002A4893">
              <w:rPr>
                <w:rFonts w:ascii="Times New Roman" w:hAnsi="Times New Roman" w:cs="Times New Roman"/>
                <w:b/>
                <w:color w:val="000000" w:themeColor="text1"/>
                <w:sz w:val="24"/>
                <w:szCs w:val="24"/>
              </w:rPr>
              <w:t>съфинансиране</w:t>
            </w:r>
            <w:proofErr w:type="spellEnd"/>
            <w:r w:rsidR="004E646E"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xml:space="preserve">, както и разрешително за </w:t>
            </w:r>
            <w:proofErr w:type="spellStart"/>
            <w:r w:rsidR="00644604" w:rsidRPr="002A4893">
              <w:rPr>
                <w:rFonts w:ascii="Times New Roman" w:hAnsi="Times New Roman" w:cs="Times New Roman"/>
                <w:b/>
                <w:sz w:val="24"/>
                <w:szCs w:val="24"/>
              </w:rPr>
              <w:t>водовземане</w:t>
            </w:r>
            <w:proofErr w:type="spellEnd"/>
            <w:r w:rsidR="00644604" w:rsidRPr="002A4893">
              <w:rPr>
                <w:rFonts w:ascii="Times New Roman" w:hAnsi="Times New Roman" w:cs="Times New Roman"/>
                <w:b/>
                <w:sz w:val="24"/>
                <w:szCs w:val="24"/>
              </w:rPr>
              <w:t xml:space="preserve">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lastRenderedPageBreak/>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5"/>
          <w:headerReference w:type="default" r:id="rId16"/>
          <w:footerReference w:type="default" r:id="rId17"/>
          <w:headerReference w:type="first" r:id="rId18"/>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2" w:name="_Toc69388921"/>
      <w:r w:rsidRPr="00F25C31">
        <w:rPr>
          <w:rFonts w:cs="Times New Roman"/>
        </w:rPr>
        <w:lastRenderedPageBreak/>
        <w:t>22. Критерии и методика за оценка на проектните предложения</w:t>
      </w:r>
      <w:bookmarkEnd w:id="32"/>
    </w:p>
    <w:p w14:paraId="249E617E" w14:textId="5D774EB7" w:rsidR="00813357" w:rsidRPr="00F25C31" w:rsidRDefault="00813357">
      <w:pPr>
        <w:pStyle w:val="Heading2"/>
        <w:spacing w:before="0"/>
        <w:jc w:val="both"/>
        <w:rPr>
          <w:rFonts w:cs="Times New Roman"/>
        </w:rPr>
      </w:pPr>
      <w:bookmarkStart w:id="33" w:name="_Toc39829078"/>
      <w:bookmarkStart w:id="34"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3"/>
      <w:bookmarkEnd w:id="34"/>
    </w:p>
    <w:tbl>
      <w:tblPr>
        <w:tblStyle w:val="TableGrid"/>
        <w:tblW w:w="5000" w:type="pct"/>
        <w:tblLook w:val="04A0" w:firstRow="1" w:lastRow="0" w:firstColumn="1" w:lastColumn="0" w:noHBand="0" w:noVBand="1"/>
      </w:tblPr>
      <w:tblGrid>
        <w:gridCol w:w="9855"/>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proofErr w:type="spellStart"/>
                  <w:r w:rsidRPr="002A4893">
                    <w:rPr>
                      <w:b/>
                      <w:sz w:val="20"/>
                    </w:rPr>
                    <w:t>Крите</w:t>
                  </w:r>
                  <w:proofErr w:type="spellEnd"/>
                </w:p>
                <w:p w14:paraId="5BE0AEE9" w14:textId="2B6CDAF8" w:rsidR="00E02C44" w:rsidRPr="002A4893" w:rsidRDefault="00E02C44">
                  <w:pPr>
                    <w:pStyle w:val="doc-ti"/>
                    <w:spacing w:before="0" w:beforeAutospacing="0" w:after="0" w:afterAutospacing="0" w:line="276" w:lineRule="auto"/>
                    <w:jc w:val="center"/>
                    <w:rPr>
                      <w:sz w:val="20"/>
                    </w:rPr>
                  </w:pPr>
                  <w:proofErr w:type="spellStart"/>
                  <w:r w:rsidRPr="002A4893">
                    <w:rPr>
                      <w:b/>
                      <w:sz w:val="20"/>
                    </w:rPr>
                    <w:t>рии</w:t>
                  </w:r>
                  <w:proofErr w:type="spellEnd"/>
                  <w:r w:rsidRPr="002A4893">
                    <w:rPr>
                      <w:b/>
                      <w:sz w:val="20"/>
                    </w:rPr>
                    <w:t xml:space="preserve">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 xml:space="preserve">Проектни предложения, представени от кандидати, които не са одобрени за подпомагане по подмярка 4.1 „Инвестиции в земеделски стопанства“ от </w:t>
                  </w:r>
                  <w:proofErr w:type="spellStart"/>
                  <w:r w:rsidRPr="002A4893">
                    <w:rPr>
                      <w:sz w:val="20"/>
                    </w:rPr>
                    <w:t>ПРСР</w:t>
                  </w:r>
                  <w:proofErr w:type="spellEnd"/>
                  <w:r w:rsidRPr="002A4893">
                    <w:rPr>
                      <w:sz w:val="20"/>
                    </w:rPr>
                    <w:t xml:space="preserve">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lastRenderedPageBreak/>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w:t>
                  </w:r>
                  <w:proofErr w:type="spellStart"/>
                  <w:r w:rsidRPr="002A4893">
                    <w:rPr>
                      <w:sz w:val="20"/>
                    </w:rPr>
                    <w:t>средносписъчния</w:t>
                  </w:r>
                  <w:proofErr w:type="spellEnd"/>
                  <w:r w:rsidRPr="002A4893">
                    <w:rPr>
                      <w:sz w:val="20"/>
                    </w:rPr>
                    <w:t xml:space="preserve">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i/>
                      <w:sz w:val="20"/>
                    </w:rPr>
                    <w:t>водовземни</w:t>
                  </w:r>
                  <w:proofErr w:type="spellEnd"/>
                  <w:r w:rsidRPr="002A4893">
                    <w:rPr>
                      <w:i/>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sz w:val="20"/>
                    </w:rPr>
                    <w:t>водовземни</w:t>
                  </w:r>
                  <w:proofErr w:type="spellEnd"/>
                  <w:r w:rsidRPr="002A4893">
                    <w:rPr>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 xml:space="preserve">Проектни предложения с инвестиции и дейности, осигуряващи опазване на компонентите на околната среда, включително </w:t>
                  </w:r>
                  <w:proofErr w:type="spellStart"/>
                  <w:r w:rsidRPr="002A4893">
                    <w:rPr>
                      <w:sz w:val="20"/>
                    </w:rPr>
                    <w:t>ВЕИ</w:t>
                  </w:r>
                  <w:proofErr w:type="spellEnd"/>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 xml:space="preserve">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w:t>
                  </w:r>
                  <w:proofErr w:type="spellStart"/>
                  <w:r w:rsidRPr="002A4893">
                    <w:rPr>
                      <w:sz w:val="20"/>
                    </w:rPr>
                    <w:t>ВЕИ</w:t>
                  </w:r>
                  <w:proofErr w:type="spellEnd"/>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w:t>
                  </w:r>
                  <w:proofErr w:type="spellStart"/>
                  <w:r w:rsidRPr="002A4893">
                    <w:rPr>
                      <w:sz w:val="20"/>
                    </w:rPr>
                    <w:t>4</w:t>
                  </w:r>
                  <w:proofErr w:type="spellEnd"/>
                  <w:r w:rsidRPr="002A4893">
                    <w:rPr>
                      <w:sz w:val="20"/>
                    </w:rPr>
                    <w:t>.</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w:t>
                  </w:r>
                  <w:r w:rsidRPr="002A4893">
                    <w:rPr>
                      <w:b/>
                      <w:sz w:val="20"/>
                    </w:rPr>
                    <w:lastRenderedPageBreak/>
                    <w:t>проекти на 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w:t>
                  </w:r>
                  <w:r w:rsidRPr="002A4893">
                    <w:rPr>
                      <w:sz w:val="20"/>
                    </w:rPr>
                    <w:lastRenderedPageBreak/>
                    <w:t>разположени на 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w:t>
                  </w:r>
                  <w:r w:rsidRPr="002A4893">
                    <w:rPr>
                      <w:sz w:val="20"/>
                    </w:rPr>
                    <w:lastRenderedPageBreak/>
                    <w:t>земеделското стопанство 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lastRenderedPageBreak/>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5" w:name="_Toc39829079"/>
    </w:p>
    <w:p w14:paraId="4D14F388" w14:textId="04ACAAB2" w:rsidR="00813357" w:rsidRPr="00F25C31" w:rsidRDefault="00813357">
      <w:pPr>
        <w:pStyle w:val="Heading2"/>
        <w:spacing w:before="0"/>
        <w:jc w:val="both"/>
        <w:rPr>
          <w:rFonts w:cs="Times New Roman"/>
        </w:rPr>
      </w:pPr>
      <w:bookmarkStart w:id="36" w:name="_Toc69388923"/>
      <w:r w:rsidRPr="00F25C31">
        <w:rPr>
          <w:rFonts w:cs="Times New Roman"/>
        </w:rPr>
        <w:lastRenderedPageBreak/>
        <w:t>22.2 Методика за оценка на проектните предложения</w:t>
      </w:r>
      <w:bookmarkEnd w:id="35"/>
      <w:bookmarkEnd w:id="36"/>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w:t>
            </w:r>
            <w:proofErr w:type="spellStart"/>
            <w:r w:rsidR="007E0D95" w:rsidRPr="002A4893">
              <w:rPr>
                <w:rFonts w:ascii="Times New Roman" w:hAnsi="Times New Roman" w:cs="Times New Roman"/>
                <w:sz w:val="24"/>
                <w:szCs w:val="24"/>
              </w:rPr>
              <w:t>резене</w:t>
            </w:r>
            <w:proofErr w:type="spellEnd"/>
            <w:r w:rsidR="007E0D95" w:rsidRPr="002A4893">
              <w:rPr>
                <w:rFonts w:ascii="Times New Roman" w:hAnsi="Times New Roman" w:cs="Times New Roman"/>
                <w:sz w:val="24"/>
                <w:szCs w:val="24"/>
              </w:rPr>
              <w:t xml:space="preserve">,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w:t>
            </w:r>
            <w:proofErr w:type="spellStart"/>
            <w:r w:rsidRPr="002A4893">
              <w:rPr>
                <w:rFonts w:ascii="Times New Roman" w:hAnsi="Times New Roman" w:cs="Times New Roman"/>
                <w:sz w:val="24"/>
                <w:szCs w:val="24"/>
              </w:rPr>
              <w:t>ОПР</w:t>
            </w:r>
            <w:proofErr w:type="spellEnd"/>
            <w:r w:rsidRPr="002A4893">
              <w:rPr>
                <w:rFonts w:ascii="Times New Roman" w:hAnsi="Times New Roman" w:cs="Times New Roman"/>
                <w:sz w:val="24"/>
                <w:szCs w:val="24"/>
              </w:rPr>
              <w:t xml:space="preserve">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w:t>
            </w:r>
            <w:proofErr w:type="spellStart"/>
            <w:r w:rsidRPr="002A4893">
              <w:rPr>
                <w:rFonts w:ascii="Times New Roman" w:hAnsi="Times New Roman" w:cs="Times New Roman"/>
                <w:sz w:val="24"/>
                <w:szCs w:val="24"/>
              </w:rPr>
              <w:t>ОПР</w:t>
            </w:r>
            <w:proofErr w:type="spellEnd"/>
            <w:r w:rsidRPr="002A4893">
              <w:rPr>
                <w:rFonts w:ascii="Times New Roman" w:hAnsi="Times New Roman" w:cs="Times New Roman"/>
                <w:sz w:val="24"/>
                <w:szCs w:val="24"/>
              </w:rPr>
              <w:t xml:space="preserve">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w:t>
            </w:r>
            <w:proofErr w:type="spellStart"/>
            <w:r w:rsidRPr="002A4893">
              <w:rPr>
                <w:rFonts w:ascii="Times New Roman" w:hAnsi="Times New Roman" w:cs="Times New Roman"/>
                <w:sz w:val="24"/>
                <w:szCs w:val="24"/>
              </w:rPr>
              <w:t>ОПР</w:t>
            </w:r>
            <w:proofErr w:type="spellEnd"/>
            <w:r w:rsidRPr="002A4893">
              <w:rPr>
                <w:rFonts w:ascii="Times New Roman" w:hAnsi="Times New Roman" w:cs="Times New Roman"/>
                <w:sz w:val="24"/>
                <w:szCs w:val="24"/>
              </w:rPr>
              <w:t xml:space="preserve">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w:t>
            </w:r>
            <w:proofErr w:type="spellStart"/>
            <w:r w:rsidRPr="002A4893">
              <w:rPr>
                <w:rFonts w:ascii="Times New Roman" w:hAnsi="Times New Roman" w:cs="Times New Roman"/>
                <w:sz w:val="24"/>
                <w:szCs w:val="24"/>
              </w:rPr>
              <w:t>обезценка</w:t>
            </w:r>
            <w:proofErr w:type="spellEnd"/>
            <w:r w:rsidRPr="002A4893">
              <w:rPr>
                <w:rFonts w:ascii="Times New Roman" w:hAnsi="Times New Roman" w:cs="Times New Roman"/>
                <w:sz w:val="24"/>
                <w:szCs w:val="24"/>
              </w:rPr>
              <w:t xml:space="preserve">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w:t>
            </w:r>
            <w:proofErr w:type="spellStart"/>
            <w:r w:rsidRPr="002A4893">
              <w:rPr>
                <w:rFonts w:ascii="Times New Roman" w:hAnsi="Times New Roman" w:cs="Times New Roman"/>
                <w:sz w:val="24"/>
                <w:szCs w:val="24"/>
              </w:rPr>
              <w:t>ОПР</w:t>
            </w:r>
            <w:proofErr w:type="spellEnd"/>
            <w:r w:rsidRPr="002A4893">
              <w:rPr>
                <w:rFonts w:ascii="Times New Roman" w:hAnsi="Times New Roman" w:cs="Times New Roman"/>
                <w:sz w:val="24"/>
                <w:szCs w:val="24"/>
              </w:rPr>
              <w:t xml:space="preserve">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w:t>
            </w:r>
            <w:proofErr w:type="spellStart"/>
            <w:r w:rsidR="00CA7A32" w:rsidRPr="002A4893">
              <w:rPr>
                <w:rFonts w:ascii="Times New Roman" w:hAnsi="Times New Roman" w:cs="Times New Roman"/>
                <w:sz w:val="24"/>
                <w:szCs w:val="24"/>
                <w:lang w:val="en-US"/>
              </w:rPr>
              <w:t>случай</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кандидатът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съставя</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ОПР</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съгласно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Закона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lastRenderedPageBreak/>
              <w:t>счетоводството</w:t>
            </w:r>
            <w:proofErr w:type="spellEnd"/>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източник</w:t>
            </w:r>
            <w:proofErr w:type="spellEnd"/>
            <w:r w:rsidR="00CA7A32" w:rsidRPr="002A4893">
              <w:rPr>
                <w:rFonts w:ascii="Times New Roman" w:hAnsi="Times New Roman" w:cs="Times New Roman"/>
                <w:sz w:val="24"/>
                <w:szCs w:val="24"/>
                <w:lang w:val="en-US"/>
              </w:rPr>
              <w:t xml:space="preserve"> на </w:t>
            </w:r>
            <w:proofErr w:type="spellStart"/>
            <w:r w:rsidR="00CA7A32" w:rsidRPr="002A4893">
              <w:rPr>
                <w:rFonts w:ascii="Times New Roman" w:hAnsi="Times New Roman" w:cs="Times New Roman"/>
                <w:sz w:val="24"/>
                <w:szCs w:val="24"/>
                <w:lang w:val="en-US"/>
              </w:rPr>
              <w:t>информация</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използва</w:t>
            </w:r>
            <w:proofErr w:type="spellEnd"/>
            <w:r w:rsidR="00CA7A32" w:rsidRPr="002A4893">
              <w:rPr>
                <w:rFonts w:ascii="Times New Roman" w:hAnsi="Times New Roman" w:cs="Times New Roman"/>
                <w:sz w:val="24"/>
                <w:szCs w:val="24"/>
                <w:lang w:val="en-US"/>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Приложение</w:t>
            </w:r>
            <w:proofErr w:type="spellEnd"/>
            <w:r w:rsidR="00CA7A32" w:rsidRPr="002A4893">
              <w:rPr>
                <w:rFonts w:ascii="Times New Roman" w:hAnsi="Times New Roman" w:cs="Times New Roman"/>
                <w:sz w:val="24"/>
                <w:szCs w:val="24"/>
                <w:lang w:val="en-US"/>
              </w:rPr>
              <w:t xml:space="preserve"> № 3 - </w:t>
            </w:r>
            <w:proofErr w:type="spellStart"/>
            <w:r w:rsidR="00CA7A32" w:rsidRPr="002A4893">
              <w:rPr>
                <w:rFonts w:ascii="Times New Roman" w:hAnsi="Times New Roman" w:cs="Times New Roman"/>
                <w:sz w:val="24"/>
                <w:szCs w:val="24"/>
                <w:lang w:val="en-US"/>
              </w:rPr>
              <w:t>доходи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друга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стопанска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w:t>
            </w:r>
            <w:proofErr w:type="spellEnd"/>
            <w:r w:rsidR="001A6D46" w:rsidRPr="002A4893">
              <w:rPr>
                <w:rFonts w:ascii="Times New Roman" w:hAnsi="Times New Roman" w:cs="Times New Roman"/>
                <w:sz w:val="24"/>
                <w:szCs w:val="24"/>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съответната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година</w:t>
            </w:r>
            <w:proofErr w:type="spellEnd"/>
            <w:r w:rsidR="00CA7A32" w:rsidRPr="002A4893">
              <w:rPr>
                <w:rFonts w:ascii="Times New Roman" w:hAnsi="Times New Roman" w:cs="Times New Roman"/>
                <w:sz w:val="24"/>
                <w:szCs w:val="24"/>
                <w:lang w:val="en-US"/>
              </w:rPr>
              <w:t xml:space="preserve"> на </w:t>
            </w:r>
            <w:proofErr w:type="spellStart"/>
            <w:r w:rsidR="00CA7A32" w:rsidRPr="002A4893">
              <w:rPr>
                <w:rFonts w:ascii="Times New Roman" w:hAnsi="Times New Roman" w:cs="Times New Roman"/>
                <w:sz w:val="24"/>
                <w:szCs w:val="24"/>
                <w:lang w:val="en-US"/>
              </w:rPr>
              <w:t>физическото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лице</w:t>
            </w:r>
            <w:proofErr w:type="spellEnd"/>
            <w:r w:rsidR="00CA7A32" w:rsidRPr="002A4893">
              <w:rPr>
                <w:rFonts w:ascii="Times New Roman" w:hAnsi="Times New Roman" w:cs="Times New Roman"/>
                <w:sz w:val="24"/>
                <w:szCs w:val="24"/>
              </w:rPr>
              <w:t xml:space="preserve">, като се взимат предвид </w:t>
            </w:r>
            <w:proofErr w:type="spellStart"/>
            <w:r w:rsidR="00CA7A32" w:rsidRPr="002A4893">
              <w:rPr>
                <w:rFonts w:ascii="Times New Roman" w:hAnsi="Times New Roman" w:cs="Times New Roman"/>
                <w:sz w:val="24"/>
                <w:szCs w:val="24"/>
                <w:lang w:val="en-US"/>
              </w:rPr>
              <w:t>стойността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3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Сума</w:t>
            </w:r>
            <w:proofErr w:type="spellEnd"/>
            <w:r w:rsidR="00CA7A32" w:rsidRPr="002A4893">
              <w:rPr>
                <w:rFonts w:ascii="Times New Roman" w:hAnsi="Times New Roman" w:cs="Times New Roman"/>
                <w:sz w:val="24"/>
                <w:szCs w:val="24"/>
                <w:lang w:val="en-US"/>
              </w:rPr>
              <w:t xml:space="preserve"> на </w:t>
            </w:r>
            <w:proofErr w:type="spellStart"/>
            <w:r w:rsidR="00CA7A32" w:rsidRPr="002A4893">
              <w:rPr>
                <w:rFonts w:ascii="Times New Roman" w:hAnsi="Times New Roman" w:cs="Times New Roman"/>
                <w:sz w:val="24"/>
                <w:szCs w:val="24"/>
                <w:lang w:val="en-US"/>
              </w:rPr>
              <w:t>доходите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подлежащи</w:t>
            </w:r>
            <w:proofErr w:type="spellEnd"/>
            <w:r w:rsidR="00CA7A32" w:rsidRPr="002A4893">
              <w:rPr>
                <w:rFonts w:ascii="Times New Roman" w:hAnsi="Times New Roman" w:cs="Times New Roman"/>
                <w:sz w:val="24"/>
                <w:szCs w:val="24"/>
                <w:lang w:val="en-US"/>
              </w:rPr>
              <w:t xml:space="preserve"> на </w:t>
            </w:r>
            <w:proofErr w:type="spellStart"/>
            <w:r w:rsidR="00CA7A32" w:rsidRPr="002A4893">
              <w:rPr>
                <w:rFonts w:ascii="Times New Roman" w:hAnsi="Times New Roman" w:cs="Times New Roman"/>
                <w:sz w:val="24"/>
                <w:szCs w:val="24"/>
                <w:lang w:val="en-US"/>
              </w:rPr>
              <w:t>облагане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реда</w:t>
            </w:r>
            <w:proofErr w:type="spellEnd"/>
            <w:r w:rsidR="00CA7A32" w:rsidRPr="002A4893">
              <w:rPr>
                <w:rFonts w:ascii="Times New Roman" w:hAnsi="Times New Roman" w:cs="Times New Roman"/>
                <w:sz w:val="24"/>
                <w:szCs w:val="24"/>
                <w:lang w:val="en-US"/>
              </w:rPr>
              <w:t xml:space="preserve"> на </w:t>
            </w:r>
            <w:proofErr w:type="spellStart"/>
            <w:r w:rsidR="00CA7A32" w:rsidRPr="002A4893">
              <w:rPr>
                <w:rFonts w:ascii="Times New Roman" w:hAnsi="Times New Roman" w:cs="Times New Roman"/>
                <w:sz w:val="24"/>
                <w:szCs w:val="24"/>
                <w:lang w:val="en-US"/>
              </w:rPr>
              <w:t>чл</w:t>
            </w:r>
            <w:proofErr w:type="spellEnd"/>
            <w:r w:rsidR="00CA7A32" w:rsidRPr="002A4893">
              <w:rPr>
                <w:rFonts w:ascii="Times New Roman" w:hAnsi="Times New Roman" w:cs="Times New Roman"/>
                <w:sz w:val="24"/>
                <w:szCs w:val="24"/>
                <w:lang w:val="en-US"/>
              </w:rPr>
              <w:t xml:space="preserve">. 29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ЗДДФЛ</w:t>
            </w:r>
            <w:proofErr w:type="spellEnd"/>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Разходи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дейността</w:t>
            </w:r>
            <w:proofErr w:type="spellEnd"/>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w:t>
            </w:r>
            <w:proofErr w:type="spellStart"/>
            <w:r w:rsidRPr="002A4893">
              <w:rPr>
                <w:rFonts w:ascii="Times New Roman" w:hAnsi="Times New Roman" w:cs="Times New Roman"/>
                <w:sz w:val="24"/>
                <w:szCs w:val="24"/>
              </w:rPr>
              <w:t>средносписъчния</w:t>
            </w:r>
            <w:proofErr w:type="spellEnd"/>
            <w:r w:rsidRPr="002A4893">
              <w:rPr>
                <w:rFonts w:ascii="Times New Roman" w:hAnsi="Times New Roman" w:cs="Times New Roman"/>
                <w:sz w:val="24"/>
                <w:szCs w:val="24"/>
              </w:rPr>
              <w:t xml:space="preserve">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w:t>
            </w:r>
            <w:proofErr w:type="spellStart"/>
            <w:r w:rsidRPr="002A4893">
              <w:rPr>
                <w:rFonts w:ascii="Times New Roman" w:hAnsi="Times New Roman" w:cs="Times New Roman"/>
                <w:sz w:val="24"/>
                <w:szCs w:val="24"/>
              </w:rPr>
              <w:t>Средносписъчният</w:t>
            </w:r>
            <w:proofErr w:type="spellEnd"/>
            <w:r w:rsidRPr="002A4893">
              <w:rPr>
                <w:rFonts w:ascii="Times New Roman" w:hAnsi="Times New Roman" w:cs="Times New Roman"/>
                <w:sz w:val="24"/>
                <w:szCs w:val="24"/>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w:t>
            </w:r>
            <w:proofErr w:type="spellStart"/>
            <w:r w:rsidR="00551D9F" w:rsidRPr="002A4893">
              <w:rPr>
                <w:rFonts w:ascii="Times New Roman" w:hAnsi="Times New Roman" w:cs="Times New Roman"/>
                <w:sz w:val="24"/>
                <w:szCs w:val="24"/>
              </w:rPr>
              <w:t>средносписъчния</w:t>
            </w:r>
            <w:proofErr w:type="spellEnd"/>
            <w:r w:rsidR="00551D9F" w:rsidRPr="002A4893">
              <w:rPr>
                <w:rFonts w:ascii="Times New Roman" w:hAnsi="Times New Roman" w:cs="Times New Roman"/>
                <w:sz w:val="24"/>
                <w:szCs w:val="24"/>
              </w:rPr>
              <w:t xml:space="preserve">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8.2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w:t>
            </w:r>
            <w:proofErr w:type="spellStart"/>
            <w:r w:rsidRPr="002A4893">
              <w:rPr>
                <w:rFonts w:ascii="Times New Roman" w:hAnsi="Times New Roman" w:cs="Times New Roman"/>
                <w:sz w:val="24"/>
                <w:szCs w:val="24"/>
              </w:rPr>
              <w:t>ВЕИ</w:t>
            </w:r>
            <w:proofErr w:type="spellEnd"/>
            <w:r w:rsidRPr="002A4893">
              <w:rPr>
                <w:rFonts w:ascii="Times New Roman" w:hAnsi="Times New Roman" w:cs="Times New Roman"/>
                <w:sz w:val="24"/>
                <w:szCs w:val="24"/>
              </w:rPr>
              <w:t xml:space="preserve">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 xml:space="preserve">в Таблица 1Б „Инвестиционни разходи осигуряващи опазване компонентите на околната среда, включително </w:t>
            </w:r>
            <w:proofErr w:type="spellStart"/>
            <w:r w:rsidR="00283CFB" w:rsidRPr="002A4893">
              <w:rPr>
                <w:rFonts w:ascii="Times New Roman" w:hAnsi="Times New Roman" w:cs="Times New Roman"/>
                <w:sz w:val="24"/>
                <w:szCs w:val="24"/>
              </w:rPr>
              <w:t>ВЕИ</w:t>
            </w:r>
            <w:proofErr w:type="spellEnd"/>
            <w:r w:rsidR="00283CFB" w:rsidRPr="002A4893">
              <w:rPr>
                <w:rFonts w:ascii="Times New Roman" w:hAnsi="Times New Roman" w:cs="Times New Roman"/>
                <w:sz w:val="24"/>
                <w:szCs w:val="24"/>
              </w:rPr>
              <w:t>“</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w:t>
            </w:r>
            <w:r w:rsidRPr="002A4893">
              <w:rPr>
                <w:rFonts w:ascii="Times New Roman" w:hAnsi="Times New Roman" w:cs="Times New Roman"/>
                <w:sz w:val="24"/>
                <w:szCs w:val="24"/>
              </w:rPr>
              <w:lastRenderedPageBreak/>
              <w:t xml:space="preserve">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w:t>
            </w:r>
            <w:proofErr w:type="spellStart"/>
            <w:r w:rsidR="00304449" w:rsidRPr="002A4893">
              <w:rPr>
                <w:rFonts w:ascii="Times New Roman" w:hAnsi="Times New Roman" w:cs="Times New Roman"/>
                <w:sz w:val="24"/>
                <w:szCs w:val="24"/>
              </w:rPr>
              <w:t>4</w:t>
            </w:r>
            <w:proofErr w:type="spellEnd"/>
            <w:r w:rsidR="00304449" w:rsidRPr="002A4893">
              <w:rPr>
                <w:rFonts w:ascii="Times New Roman" w:hAnsi="Times New Roman" w:cs="Times New Roman"/>
                <w:sz w:val="24"/>
                <w:szCs w:val="24"/>
              </w:rPr>
              <w:t>.</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1А: „Инвестиционни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необлагодетелствани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w:t>
            </w:r>
            <w:proofErr w:type="spellStart"/>
            <w:r w:rsidRPr="002A4893">
              <w:rPr>
                <w:rFonts w:ascii="Times New Roman" w:hAnsi="Times New Roman" w:cs="Times New Roman"/>
                <w:sz w:val="24"/>
                <w:szCs w:val="24"/>
              </w:rPr>
              <w:t>обн</w:t>
            </w:r>
            <w:proofErr w:type="spellEnd"/>
            <w:r w:rsidRPr="002A4893">
              <w:rPr>
                <w:rFonts w:ascii="Times New Roman" w:hAnsi="Times New Roman" w:cs="Times New Roman"/>
                <w:sz w:val="24"/>
                <w:szCs w:val="24"/>
              </w:rPr>
              <w:t>.,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се намират на територията на </w:t>
            </w:r>
            <w:r w:rsidR="00407138">
              <w:rPr>
                <w:rFonts w:ascii="Times New Roman" w:hAnsi="Times New Roman" w:cs="Times New Roman"/>
                <w:sz w:val="24"/>
                <w:szCs w:val="24"/>
              </w:rPr>
              <w:t xml:space="preserve">необлагодетелстван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14. За доказване на съответствието с </w:t>
            </w:r>
            <w:proofErr w:type="spellStart"/>
            <w:r w:rsidRPr="002A4893">
              <w:rPr>
                <w:rFonts w:ascii="Times New Roman" w:hAnsi="Times New Roman" w:cs="Times New Roman"/>
                <w:b/>
                <w:sz w:val="24"/>
                <w:szCs w:val="24"/>
              </w:rPr>
              <w:t>критерите</w:t>
            </w:r>
            <w:proofErr w:type="spellEnd"/>
            <w:r w:rsidRPr="002A4893">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 xml:space="preserve">4.3 „Проектни предложения с инвестиции и дейности, осигуряващи опазване на компонентите на околната среда, включително </w:t>
            </w:r>
            <w:proofErr w:type="spellStart"/>
            <w:r w:rsidRPr="00F25C31">
              <w:rPr>
                <w:rFonts w:ascii="Times New Roman" w:hAnsi="Times New Roman" w:cs="Times New Roman"/>
                <w:b/>
                <w:sz w:val="24"/>
              </w:rPr>
              <w:t>ВЕИ</w:t>
            </w:r>
            <w:proofErr w:type="spellEnd"/>
            <w:r w:rsidRPr="00F25C31">
              <w:rPr>
                <w:rFonts w:ascii="Times New Roman" w:hAnsi="Times New Roman" w:cs="Times New Roman"/>
                <w:b/>
                <w:sz w:val="24"/>
              </w:rPr>
              <w:t>“.</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7" w:name="_Toc69388924"/>
      <w:r w:rsidRPr="008902B2">
        <w:rPr>
          <w:rFonts w:cs="Times New Roman"/>
        </w:rPr>
        <w:lastRenderedPageBreak/>
        <w:t>23. Начин на подаване на проектните предложения/концепциите за проектни предложения:</w:t>
      </w:r>
      <w:bookmarkEnd w:id="37"/>
    </w:p>
    <w:tbl>
      <w:tblPr>
        <w:tblStyle w:val="TableGrid"/>
        <w:tblW w:w="5000" w:type="pct"/>
        <w:tblLook w:val="04A0" w:firstRow="1" w:lastRow="0" w:firstColumn="1" w:lastColumn="0" w:noHBand="0" w:noVBand="1"/>
      </w:tblPr>
      <w:tblGrid>
        <w:gridCol w:w="9855"/>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w:t>
            </w:r>
            <w:proofErr w:type="spellStart"/>
            <w:r w:rsidRPr="002A4893">
              <w:rPr>
                <w:rFonts w:ascii="Times New Roman" w:eastAsia="Times New Roman" w:hAnsi="Times New Roman" w:cs="Times New Roman"/>
                <w:sz w:val="24"/>
                <w:szCs w:val="24"/>
                <w:shd w:val="clear" w:color="auto" w:fill="FEFEFE"/>
              </w:rPr>
              <w:t>ИСУН</w:t>
            </w:r>
            <w:proofErr w:type="spellEnd"/>
            <w:r w:rsidRPr="002A4893">
              <w:rPr>
                <w:rFonts w:ascii="Times New Roman" w:eastAsia="Times New Roman" w:hAnsi="Times New Roman" w:cs="Times New Roman"/>
                <w:sz w:val="24"/>
                <w:szCs w:val="24"/>
                <w:shd w:val="clear" w:color="auto" w:fill="FEFEFE"/>
              </w:rPr>
              <w:t xml:space="preserve">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2. С квалифициран електронен подпис, наричан по-нататък „</w:t>
            </w:r>
            <w:proofErr w:type="spellStart"/>
            <w:r w:rsidRPr="002A4893">
              <w:rPr>
                <w:rFonts w:ascii="Times New Roman" w:eastAsia="Times New Roman" w:hAnsi="Times New Roman" w:cs="Times New Roman"/>
                <w:sz w:val="24"/>
                <w:szCs w:val="24"/>
                <w:shd w:val="clear" w:color="auto" w:fill="FEFEFE"/>
              </w:rPr>
              <w:t>КЕП</w:t>
            </w:r>
            <w:proofErr w:type="spellEnd"/>
            <w:r w:rsidRPr="002A4893">
              <w:rPr>
                <w:rFonts w:ascii="Times New Roman" w:eastAsia="Times New Roman" w:hAnsi="Times New Roman" w:cs="Times New Roman"/>
                <w:sz w:val="24"/>
                <w:szCs w:val="24"/>
                <w:shd w:val="clear" w:color="auto" w:fill="FEFEFE"/>
              </w:rPr>
              <w:t xml:space="preserve">“,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w:t>
            </w:r>
            <w:proofErr w:type="spellStart"/>
            <w:r w:rsidRPr="002A4893">
              <w:rPr>
                <w:rFonts w:ascii="Times New Roman" w:eastAsia="Times New Roman" w:hAnsi="Times New Roman" w:cs="Times New Roman"/>
                <w:sz w:val="24"/>
                <w:szCs w:val="24"/>
                <w:shd w:val="clear" w:color="auto" w:fill="FEFEFE"/>
              </w:rPr>
              <w:t>КЕП</w:t>
            </w:r>
            <w:proofErr w:type="spellEnd"/>
            <w:r w:rsidRPr="002A4893">
              <w:rPr>
                <w:rFonts w:ascii="Times New Roman" w:eastAsia="Times New Roman" w:hAnsi="Times New Roman" w:cs="Times New Roman"/>
                <w:sz w:val="24"/>
                <w:szCs w:val="24"/>
                <w:shd w:val="clear" w:color="auto" w:fill="FEFEFE"/>
              </w:rPr>
              <w:t xml:space="preserve"> към датата на кандидатстване с титуляр и автор - физическото лице, което е представител на кандидата или </w:t>
            </w:r>
            <w:proofErr w:type="spellStart"/>
            <w:r w:rsidRPr="002A4893">
              <w:rPr>
                <w:rFonts w:ascii="Times New Roman" w:eastAsia="Times New Roman" w:hAnsi="Times New Roman" w:cs="Times New Roman"/>
                <w:sz w:val="24"/>
                <w:szCs w:val="24"/>
                <w:shd w:val="clear" w:color="auto" w:fill="FEFEFE"/>
              </w:rPr>
              <w:t>КЕП</w:t>
            </w:r>
            <w:proofErr w:type="spellEnd"/>
            <w:r w:rsidRPr="002A4893">
              <w:rPr>
                <w:rFonts w:ascii="Times New Roman" w:eastAsia="Times New Roman" w:hAnsi="Times New Roman" w:cs="Times New Roman"/>
                <w:sz w:val="24"/>
                <w:szCs w:val="24"/>
                <w:shd w:val="clear" w:color="auto" w:fill="FEFEFE"/>
              </w:rPr>
              <w:t xml:space="preserve">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w:t>
            </w:r>
            <w:proofErr w:type="spellStart"/>
            <w:r w:rsidRPr="002A4893">
              <w:rPr>
                <w:rFonts w:ascii="Times New Roman" w:eastAsia="Times New Roman" w:hAnsi="Times New Roman" w:cs="Times New Roman"/>
                <w:sz w:val="24"/>
                <w:szCs w:val="24"/>
                <w:shd w:val="clear" w:color="auto" w:fill="FEFEFE"/>
              </w:rPr>
              <w:t>КЕП</w:t>
            </w:r>
            <w:proofErr w:type="spellEnd"/>
            <w:r w:rsidRPr="002A4893">
              <w:rPr>
                <w:rFonts w:ascii="Times New Roman" w:eastAsia="Times New Roman" w:hAnsi="Times New Roman" w:cs="Times New Roman"/>
                <w:sz w:val="24"/>
                <w:szCs w:val="24"/>
                <w:shd w:val="clear" w:color="auto" w:fill="FEFEFE"/>
              </w:rPr>
              <w:t xml:space="preserve">.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w:t>
            </w:r>
            <w:proofErr w:type="spellStart"/>
            <w:r w:rsidRPr="002A4893">
              <w:rPr>
                <w:rFonts w:ascii="Times New Roman" w:eastAsia="Times New Roman" w:hAnsi="Times New Roman" w:cs="Times New Roman"/>
                <w:sz w:val="24"/>
                <w:szCs w:val="24"/>
                <w:shd w:val="clear" w:color="auto" w:fill="FEFEFE"/>
              </w:rPr>
              <w:t>КЕП</w:t>
            </w:r>
            <w:proofErr w:type="spellEnd"/>
            <w:r w:rsidRPr="002A4893">
              <w:rPr>
                <w:rFonts w:ascii="Times New Roman" w:eastAsia="Times New Roman" w:hAnsi="Times New Roman" w:cs="Times New Roman"/>
                <w:sz w:val="24"/>
                <w:szCs w:val="24"/>
                <w:shd w:val="clear" w:color="auto" w:fill="FEFEFE"/>
              </w:rPr>
              <w:t xml:space="preserve">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2A4893">
              <w:rPr>
                <w:rFonts w:ascii="Times New Roman" w:eastAsia="Times New Roman" w:hAnsi="Times New Roman" w:cs="Times New Roman"/>
                <w:sz w:val="24"/>
                <w:szCs w:val="24"/>
                <w:shd w:val="clear" w:color="auto" w:fill="FEFEFE"/>
              </w:rPr>
              <w:lastRenderedPageBreak/>
              <w:t xml:space="preserve">легализиран или с </w:t>
            </w:r>
            <w:proofErr w:type="spellStart"/>
            <w:r w:rsidRPr="002A4893">
              <w:rPr>
                <w:rFonts w:ascii="Times New Roman" w:eastAsia="Times New Roman" w:hAnsi="Times New Roman" w:cs="Times New Roman"/>
                <w:sz w:val="24"/>
                <w:szCs w:val="24"/>
                <w:shd w:val="clear" w:color="auto" w:fill="FEFEFE"/>
              </w:rPr>
              <w:t>апостил</w:t>
            </w:r>
            <w:proofErr w:type="spellEnd"/>
            <w:r w:rsidRPr="002A4893">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A4893">
              <w:rPr>
                <w:rFonts w:ascii="Times New Roman" w:eastAsia="Times New Roman" w:hAnsi="Times New Roman" w:cs="Times New Roman"/>
                <w:sz w:val="24"/>
                <w:szCs w:val="24"/>
                <w:shd w:val="clear" w:color="auto" w:fill="FEFEFE"/>
              </w:rPr>
              <w:t>обн</w:t>
            </w:r>
            <w:proofErr w:type="spellEnd"/>
            <w:r w:rsidRPr="002A4893">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6. Кореспонденцията и уведомленията във връзка с оценката на проектното предложение се осъществяват през </w:t>
            </w:r>
            <w:proofErr w:type="spellStart"/>
            <w:r w:rsidRPr="002A4893">
              <w:rPr>
                <w:rFonts w:ascii="Times New Roman" w:eastAsia="Times New Roman" w:hAnsi="Times New Roman" w:cs="Times New Roman"/>
                <w:sz w:val="24"/>
                <w:szCs w:val="24"/>
                <w:shd w:val="clear" w:color="auto" w:fill="FEFEFE"/>
              </w:rPr>
              <w:t>ИСУН</w:t>
            </w:r>
            <w:proofErr w:type="spellEnd"/>
            <w:r w:rsidRPr="002A4893">
              <w:rPr>
                <w:rFonts w:ascii="Times New Roman" w:eastAsia="Times New Roman" w:hAnsi="Times New Roman" w:cs="Times New Roman"/>
                <w:sz w:val="24"/>
                <w:szCs w:val="24"/>
                <w:shd w:val="clear" w:color="auto" w:fill="FEFEFE"/>
              </w:rPr>
              <w:t xml:space="preserve">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7. За дата на получаване на кореспонденцията и уведомленията се счита датата на изпращането им чрез </w:t>
            </w:r>
            <w:proofErr w:type="spellStart"/>
            <w:r w:rsidRPr="002A4893">
              <w:rPr>
                <w:rFonts w:ascii="Times New Roman" w:eastAsia="Times New Roman" w:hAnsi="Times New Roman" w:cs="Times New Roman"/>
                <w:sz w:val="24"/>
                <w:szCs w:val="24"/>
                <w:shd w:val="clear" w:color="auto" w:fill="FEFEFE"/>
              </w:rPr>
              <w:t>ИСУН</w:t>
            </w:r>
            <w:proofErr w:type="spellEnd"/>
            <w:r w:rsidRPr="002A4893">
              <w:rPr>
                <w:rFonts w:ascii="Times New Roman" w:eastAsia="Times New Roman" w:hAnsi="Times New Roman" w:cs="Times New Roman"/>
                <w:sz w:val="24"/>
                <w:szCs w:val="24"/>
                <w:shd w:val="clear" w:color="auto" w:fill="FEFEFE"/>
              </w:rPr>
              <w:t xml:space="preserve"> 2020. Сроковете започват да текат за кандидатите от изпращането на съответната кореспонденция и уведомление от оценителната комисия в </w:t>
            </w:r>
            <w:proofErr w:type="spellStart"/>
            <w:r w:rsidRPr="002A4893">
              <w:rPr>
                <w:rFonts w:ascii="Times New Roman" w:eastAsia="Times New Roman" w:hAnsi="Times New Roman" w:cs="Times New Roman"/>
                <w:sz w:val="24"/>
                <w:szCs w:val="24"/>
                <w:shd w:val="clear" w:color="auto" w:fill="FEFEFE"/>
              </w:rPr>
              <w:t>ИСУН</w:t>
            </w:r>
            <w:proofErr w:type="spellEnd"/>
            <w:r w:rsidRPr="002A4893">
              <w:rPr>
                <w:rFonts w:ascii="Times New Roman" w:eastAsia="Times New Roman" w:hAnsi="Times New Roman" w:cs="Times New Roman"/>
                <w:sz w:val="24"/>
                <w:szCs w:val="24"/>
                <w:shd w:val="clear" w:color="auto" w:fill="FEFEFE"/>
              </w:rPr>
              <w:t xml:space="preserve">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 xml:space="preserve">Важно е кандидатите да разполагат винаги с достъп до имейл адреса, към който е асоцииран профила в </w:t>
            </w:r>
            <w:proofErr w:type="spellStart"/>
            <w:r w:rsidRPr="002A4893">
              <w:rPr>
                <w:rFonts w:ascii="Times New Roman" w:eastAsia="Times New Roman" w:hAnsi="Times New Roman" w:cs="Times New Roman"/>
                <w:b/>
                <w:sz w:val="24"/>
                <w:szCs w:val="24"/>
                <w:shd w:val="clear" w:color="auto" w:fill="FEFEFE"/>
              </w:rPr>
              <w:t>ИСУН</w:t>
            </w:r>
            <w:proofErr w:type="spellEnd"/>
            <w:r w:rsidRPr="002A4893">
              <w:rPr>
                <w:rFonts w:ascii="Times New Roman" w:eastAsia="Times New Roman" w:hAnsi="Times New Roman" w:cs="Times New Roman"/>
                <w:b/>
                <w:sz w:val="24"/>
                <w:szCs w:val="24"/>
                <w:shd w:val="clear" w:color="auto" w:fill="FEFEFE"/>
              </w:rPr>
              <w:t xml:space="preserve">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proofErr w:type="spellStart"/>
            <w:r w:rsidR="00E256F0" w:rsidRPr="002A4893">
              <w:rPr>
                <w:rFonts w:ascii="Times New Roman" w:eastAsia="Times New Roman" w:hAnsi="Times New Roman" w:cs="Times New Roman"/>
                <w:sz w:val="24"/>
                <w:szCs w:val="24"/>
                <w:shd w:val="clear" w:color="auto" w:fill="FEFEFE"/>
              </w:rPr>
              <w:t>ДФЗ-РА</w:t>
            </w:r>
            <w:proofErr w:type="spellEnd"/>
            <w:r w:rsidR="00E256F0" w:rsidRPr="002A4893">
              <w:rPr>
                <w:rFonts w:ascii="Times New Roman" w:eastAsia="Times New Roman" w:hAnsi="Times New Roman" w:cs="Times New Roman"/>
                <w:sz w:val="24"/>
                <w:szCs w:val="24"/>
                <w:shd w:val="clear" w:color="auto" w:fill="FEFEFE"/>
              </w:rPr>
              <w:t xml:space="preserve">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8" w:name="_Toc69388925"/>
      <w:r w:rsidRPr="008902B2">
        <w:rPr>
          <w:rFonts w:cs="Times New Roman"/>
        </w:rPr>
        <w:lastRenderedPageBreak/>
        <w:t>24. С</w:t>
      </w:r>
      <w:r w:rsidRPr="0060217B">
        <w:rPr>
          <w:rFonts w:cs="Times New Roman"/>
        </w:rPr>
        <w:t>писък на документите, които се подават на етап кандидатстване:</w:t>
      </w:r>
      <w:bookmarkEnd w:id="38"/>
    </w:p>
    <w:p w14:paraId="53DD811E" w14:textId="67E0CF19" w:rsidR="007F4BFA" w:rsidRPr="00F25C31" w:rsidRDefault="002F1BCB">
      <w:pPr>
        <w:pStyle w:val="Heading2"/>
        <w:spacing w:before="0"/>
        <w:jc w:val="both"/>
        <w:rPr>
          <w:rFonts w:cs="Times New Roman"/>
          <w:color w:val="auto"/>
        </w:rPr>
      </w:pPr>
      <w:bookmarkStart w:id="39" w:name="_Toc69388926"/>
      <w:r w:rsidRPr="00B83087">
        <w:rPr>
          <w:rFonts w:cs="Times New Roman"/>
          <w:color w:val="auto"/>
        </w:rPr>
        <w:t>24.1. Списък с общи документи:</w:t>
      </w:r>
      <w:bookmarkEnd w:id="39"/>
    </w:p>
    <w:tbl>
      <w:tblPr>
        <w:tblStyle w:val="TableGrid"/>
        <w:tblW w:w="5000" w:type="pct"/>
        <w:tblLook w:val="04A0" w:firstRow="1" w:lastRow="0" w:firstColumn="1" w:lastColumn="0" w:noHBand="0" w:noVBand="1"/>
      </w:tblPr>
      <w:tblGrid>
        <w:gridCol w:w="9855"/>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w:t>
            </w:r>
            <w:proofErr w:type="spellStart"/>
            <w:r w:rsidRPr="002A4893">
              <w:rPr>
                <w:rFonts w:ascii="Times New Roman" w:hAnsi="Times New Roman" w:cs="Times New Roman"/>
                <w:sz w:val="24"/>
                <w:szCs w:val="24"/>
              </w:rPr>
              <w:t>xls</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xlsx</w:t>
            </w:r>
            <w:proofErr w:type="spellEnd"/>
            <w:r w:rsidRPr="002A4893">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w:t>
            </w:r>
            <w:proofErr w:type="spellStart"/>
            <w:r w:rsidR="00F73827" w:rsidRPr="002A4893">
              <w:rPr>
                <w:rFonts w:ascii="Times New Roman" w:hAnsi="Times New Roman" w:cs="Times New Roman"/>
                <w:iCs/>
                <w:sz w:val="24"/>
                <w:szCs w:val="24"/>
              </w:rPr>
              <w:t>doc</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docx</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pdf</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jpg</w:t>
            </w:r>
            <w:proofErr w:type="spellEnd"/>
            <w:r w:rsidR="00F73827" w:rsidRPr="002A4893">
              <w:rPr>
                <w:rFonts w:ascii="Times New Roman" w:hAnsi="Times New Roman" w:cs="Times New Roman"/>
                <w:iCs/>
                <w:sz w:val="24"/>
                <w:szCs w:val="24"/>
              </w:rPr>
              <w:t>”</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2A4893">
              <w:rPr>
                <w:rFonts w:ascii="Times New Roman" w:hAnsi="Times New Roman" w:cs="Times New Roman"/>
                <w:iCs/>
                <w:sz w:val="24"/>
                <w:szCs w:val="24"/>
              </w:rPr>
              <w:t>pdf</w:t>
            </w:r>
            <w:proofErr w:type="spellEnd"/>
            <w:r w:rsidR="00AF33FD" w:rsidRPr="002A4893">
              <w:rPr>
                <w:rFonts w:ascii="Times New Roman" w:hAnsi="Times New Roman" w:cs="Times New Roman"/>
                <w:iCs/>
                <w:sz w:val="24"/>
                <w:szCs w:val="24"/>
              </w:rPr>
              <w:t>” или „</w:t>
            </w:r>
            <w:proofErr w:type="spellStart"/>
            <w:r w:rsidR="00AF33FD" w:rsidRPr="002A4893">
              <w:rPr>
                <w:rFonts w:ascii="Times New Roman" w:hAnsi="Times New Roman" w:cs="Times New Roman"/>
                <w:iCs/>
                <w:sz w:val="24"/>
                <w:szCs w:val="24"/>
              </w:rPr>
              <w:t>jpg</w:t>
            </w:r>
            <w:proofErr w:type="spellEnd"/>
            <w:r w:rsidR="00AF33FD" w:rsidRPr="002A4893">
              <w:rPr>
                <w:rFonts w:ascii="Times New Roman" w:hAnsi="Times New Roman" w:cs="Times New Roman"/>
                <w:iCs/>
                <w:sz w:val="24"/>
                <w:szCs w:val="24"/>
              </w:rPr>
              <w:t>”,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w:t>
            </w:r>
            <w:r w:rsidR="00111AE7" w:rsidRPr="002A4893">
              <w:rPr>
                <w:rFonts w:ascii="Times New Roman" w:hAnsi="Times New Roman" w:cs="Times New Roman"/>
                <w:i/>
                <w:iCs/>
                <w:sz w:val="24"/>
                <w:szCs w:val="24"/>
              </w:rPr>
              <w:lastRenderedPageBreak/>
              <w:t xml:space="preserve">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4) 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w:t>
            </w:r>
            <w:proofErr w:type="spellStart"/>
            <w:r w:rsidR="00594449" w:rsidRPr="002A4893">
              <w:rPr>
                <w:rFonts w:ascii="Times New Roman" w:hAnsi="Times New Roman" w:cs="Times New Roman"/>
                <w:sz w:val="24"/>
                <w:szCs w:val="24"/>
              </w:rPr>
              <w:t>doc</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docx</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w:t>
            </w:r>
            <w:proofErr w:type="spellStart"/>
            <w:r w:rsidR="00594449" w:rsidRPr="002A4893">
              <w:rPr>
                <w:rFonts w:ascii="Times New Roman" w:hAnsi="Times New Roman" w:cs="Times New Roman"/>
                <w:i/>
                <w:iCs/>
                <w:sz w:val="24"/>
                <w:szCs w:val="24"/>
              </w:rPr>
              <w:t>pdf</w:t>
            </w:r>
            <w:proofErr w:type="spellEnd"/>
            <w:r w:rsidR="00594449" w:rsidRPr="002A4893">
              <w:rPr>
                <w:rFonts w:ascii="Times New Roman" w:hAnsi="Times New Roman" w:cs="Times New Roman"/>
                <w:i/>
                <w:iCs/>
                <w:sz w:val="24"/>
                <w:szCs w:val="24"/>
              </w:rPr>
              <w:t>” или „</w:t>
            </w:r>
            <w:proofErr w:type="spellStart"/>
            <w:r w:rsidR="00594449" w:rsidRPr="002A4893">
              <w:rPr>
                <w:rFonts w:ascii="Times New Roman" w:hAnsi="Times New Roman" w:cs="Times New Roman"/>
                <w:i/>
                <w:iCs/>
                <w:sz w:val="24"/>
                <w:szCs w:val="24"/>
              </w:rPr>
              <w:t>jpg</w:t>
            </w:r>
            <w:proofErr w:type="spellEnd"/>
            <w:r w:rsidR="00594449" w:rsidRPr="002A4893">
              <w:rPr>
                <w:rFonts w:ascii="Times New Roman" w:hAnsi="Times New Roman" w:cs="Times New Roman"/>
                <w:i/>
                <w:iCs/>
                <w:sz w:val="24"/>
                <w:szCs w:val="24"/>
              </w:rPr>
              <w:t xml:space="preserve">”,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19"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w:t>
            </w:r>
            <w:proofErr w:type="spellStart"/>
            <w:r w:rsidR="00594449" w:rsidRPr="002A4893">
              <w:rPr>
                <w:rFonts w:ascii="Times New Roman" w:hAnsi="Times New Roman" w:cs="Times New Roman"/>
                <w:iCs/>
                <w:sz w:val="24"/>
                <w:szCs w:val="24"/>
              </w:rPr>
              <w:t>doc</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docx</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xml:space="preserve">, издадена във връзка </w:t>
            </w:r>
            <w:r w:rsidR="00253747" w:rsidRPr="002A4893">
              <w:rPr>
                <w:rFonts w:ascii="Times New Roman" w:hAnsi="Times New Roman" w:cs="Times New Roman"/>
                <w:color w:val="000000" w:themeColor="text1"/>
                <w:sz w:val="24"/>
                <w:szCs w:val="24"/>
              </w:rPr>
              <w:lastRenderedPageBreak/>
              <w:t>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proofErr w:type="spellStart"/>
            <w:r w:rsidR="00111AE7" w:rsidRPr="002A4893">
              <w:rPr>
                <w:rFonts w:ascii="Times New Roman" w:hAnsi="Times New Roman" w:cs="Times New Roman"/>
                <w:iCs/>
                <w:sz w:val="24"/>
                <w:szCs w:val="24"/>
                <w:lang w:val="en-US"/>
              </w:rPr>
              <w:t>xls</w:t>
            </w:r>
            <w:proofErr w:type="spellEnd"/>
            <w:r w:rsidR="004C35E8" w:rsidRPr="002A4893">
              <w:rPr>
                <w:rFonts w:ascii="Times New Roman" w:hAnsi="Times New Roman" w:cs="Times New Roman"/>
                <w:iCs/>
                <w:sz w:val="24"/>
                <w:szCs w:val="24"/>
              </w:rPr>
              <w:t>“ или „</w:t>
            </w:r>
            <w:proofErr w:type="spellStart"/>
            <w:r w:rsidR="00111AE7" w:rsidRPr="002A4893">
              <w:rPr>
                <w:rFonts w:ascii="Times New Roman" w:hAnsi="Times New Roman" w:cs="Times New Roman"/>
                <w:iCs/>
                <w:sz w:val="24"/>
                <w:szCs w:val="24"/>
                <w:lang w:val="en-US"/>
              </w:rPr>
              <w:t>xlsx</w:t>
            </w:r>
            <w:proofErr w:type="spellEnd"/>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w:t>
            </w:r>
            <w:proofErr w:type="spellStart"/>
            <w:r w:rsidRPr="002A4893">
              <w:rPr>
                <w:rFonts w:ascii="Times New Roman" w:hAnsi="Times New Roman" w:cs="Times New Roman"/>
                <w:sz w:val="24"/>
                <w:szCs w:val="24"/>
              </w:rPr>
              <w:t>БД</w:t>
            </w:r>
            <w:proofErr w:type="spellEnd"/>
            <w:r w:rsidRPr="002A4893">
              <w:rPr>
                <w:rFonts w:ascii="Times New Roman" w:hAnsi="Times New Roman" w:cs="Times New Roman"/>
                <w:sz w:val="24"/>
                <w:szCs w:val="24"/>
              </w:rPr>
              <w:t xml:space="preserve">), издадени по реда на ЗООС и/или ЗБР и </w:t>
            </w:r>
            <w:proofErr w:type="spellStart"/>
            <w:r w:rsidR="00277A2D" w:rsidRPr="002A4893">
              <w:rPr>
                <w:rFonts w:ascii="Times New Roman" w:hAnsi="Times New Roman" w:cs="Times New Roman"/>
                <w:sz w:val="24"/>
                <w:szCs w:val="24"/>
              </w:rPr>
              <w:t>ЗВ</w:t>
            </w:r>
            <w:proofErr w:type="spellEnd"/>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Представя се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 xml:space="preserve">„Оценка на </w:t>
            </w:r>
            <w:r w:rsidRPr="00F0207A">
              <w:rPr>
                <w:rFonts w:ascii="Times New Roman" w:hAnsi="Times New Roman" w:cs="Times New Roman"/>
                <w:i/>
                <w:iCs/>
                <w:sz w:val="24"/>
                <w:szCs w:val="24"/>
              </w:rPr>
              <w:lastRenderedPageBreak/>
              <w:t>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w:t>
            </w:r>
            <w:proofErr w:type="spellStart"/>
            <w:r w:rsidR="004029D1" w:rsidRPr="002A4893">
              <w:rPr>
                <w:rFonts w:ascii="Times New Roman" w:hAnsi="Times New Roman" w:cs="Times New Roman"/>
                <w:sz w:val="24"/>
                <w:szCs w:val="24"/>
              </w:rPr>
              <w:t>СМР</w:t>
            </w:r>
            <w:proofErr w:type="spellEnd"/>
            <w:r w:rsidR="004029D1"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и когато за предвидените </w:t>
            </w:r>
            <w:proofErr w:type="spellStart"/>
            <w:r w:rsidR="004029D1" w:rsidRPr="002A4893">
              <w:rPr>
                <w:rFonts w:ascii="Times New Roman" w:hAnsi="Times New Roman" w:cs="Times New Roman"/>
                <w:sz w:val="24"/>
                <w:szCs w:val="24"/>
              </w:rPr>
              <w:t>СМР</w:t>
            </w:r>
            <w:proofErr w:type="spellEnd"/>
            <w:r w:rsidR="004029D1"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proofErr w:type="spellStart"/>
            <w:r w:rsidR="00BE7B24" w:rsidRPr="00F0207A">
              <w:rPr>
                <w:rFonts w:ascii="Times New Roman" w:hAnsi="Times New Roman" w:cs="Times New Roman"/>
                <w:sz w:val="24"/>
              </w:rPr>
              <w:t>jpg</w:t>
            </w:r>
            <w:proofErr w:type="spellEnd"/>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w:t>
            </w:r>
            <w:proofErr w:type="spellStart"/>
            <w:r w:rsidR="00515FEB" w:rsidRPr="008902B2">
              <w:rPr>
                <w:rFonts w:ascii="Times New Roman" w:hAnsi="Times New Roman" w:cs="Times New Roman"/>
                <w:sz w:val="24"/>
              </w:rPr>
              <w:t>zip</w:t>
            </w:r>
            <w:proofErr w:type="spellEnd"/>
            <w:r w:rsidR="00515FEB" w:rsidRPr="008902B2">
              <w:rPr>
                <w:rFonts w:ascii="Times New Roman" w:hAnsi="Times New Roman" w:cs="Times New Roman"/>
                <w:sz w:val="24"/>
              </w:rPr>
              <w:t>” или „</w:t>
            </w:r>
            <w:proofErr w:type="spellStart"/>
            <w:r w:rsidR="00515FEB" w:rsidRPr="008902B2">
              <w:rPr>
                <w:rFonts w:ascii="Times New Roman" w:hAnsi="Times New Roman" w:cs="Times New Roman"/>
                <w:sz w:val="24"/>
              </w:rPr>
              <w:t>rar</w:t>
            </w:r>
            <w:proofErr w:type="spellEnd"/>
            <w:r w:rsidR="00515FEB"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proofErr w:type="spellStart"/>
            <w:r w:rsidR="004029D1" w:rsidRPr="002A4893">
              <w:rPr>
                <w:rFonts w:ascii="Times New Roman" w:hAnsi="Times New Roman" w:cs="Times New Roman"/>
                <w:i/>
                <w:sz w:val="24"/>
                <w:szCs w:val="24"/>
              </w:rPr>
              <w:t>СМР</w:t>
            </w:r>
            <w:proofErr w:type="spellEnd"/>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proofErr w:type="spellStart"/>
            <w:r w:rsidR="004029D1" w:rsidRPr="002A4893">
              <w:rPr>
                <w:rFonts w:ascii="Times New Roman" w:hAnsi="Times New Roman" w:cs="Times New Roman"/>
                <w:i/>
                <w:iCs/>
                <w:sz w:val="24"/>
                <w:szCs w:val="24"/>
              </w:rPr>
              <w:t>СМР</w:t>
            </w:r>
            <w:proofErr w:type="spellEnd"/>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proofErr w:type="spellStart"/>
            <w:r w:rsidR="004029D1" w:rsidRPr="002A4893">
              <w:rPr>
                <w:rFonts w:ascii="Times New Roman" w:hAnsi="Times New Roman" w:cs="Times New Roman"/>
                <w:i/>
                <w:iCs/>
                <w:sz w:val="24"/>
                <w:szCs w:val="24"/>
              </w:rPr>
              <w:t>СМР</w:t>
            </w:r>
            <w:proofErr w:type="spellEnd"/>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proofErr w:type="spellStart"/>
            <w:r w:rsidR="00BE7B24" w:rsidRPr="002A4893">
              <w:rPr>
                <w:rFonts w:ascii="Times New Roman" w:hAnsi="Times New Roman" w:cs="Times New Roman"/>
                <w:iCs/>
                <w:sz w:val="24"/>
                <w:szCs w:val="24"/>
                <w:lang w:val="en-US"/>
              </w:rPr>
              <w:t>xls</w:t>
            </w:r>
            <w:proofErr w:type="spellEnd"/>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w:t>
            </w:r>
            <w:proofErr w:type="spellStart"/>
            <w:r w:rsidR="00FE3BC0" w:rsidRPr="002A4893">
              <w:rPr>
                <w:rFonts w:ascii="Times New Roman" w:hAnsi="Times New Roman" w:cs="Times New Roman"/>
                <w:sz w:val="24"/>
                <w:szCs w:val="24"/>
              </w:rPr>
              <w:t>xlsx</w:t>
            </w:r>
            <w:proofErr w:type="spellEnd"/>
            <w:r w:rsidR="00FE3BC0" w:rsidRPr="002A4893">
              <w:rPr>
                <w:rFonts w:ascii="Times New Roman" w:hAnsi="Times New Roman" w:cs="Times New Roman"/>
                <w:sz w:val="24"/>
                <w:szCs w:val="24"/>
              </w:rPr>
              <w:t>”</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proofErr w:type="spellStart"/>
            <w:r w:rsidR="004029D1" w:rsidRPr="002A4893">
              <w:rPr>
                <w:rFonts w:ascii="Times New Roman" w:hAnsi="Times New Roman" w:cs="Times New Roman"/>
                <w:i/>
                <w:iCs/>
                <w:sz w:val="24"/>
                <w:szCs w:val="24"/>
              </w:rPr>
              <w:t>СМР</w:t>
            </w:r>
            <w:proofErr w:type="spellEnd"/>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Представя се във формат „</w:t>
            </w:r>
            <w:proofErr w:type="spellStart"/>
            <w:r w:rsidR="00B86A75" w:rsidRPr="002A4893">
              <w:rPr>
                <w:rFonts w:ascii="Times New Roman" w:hAnsi="Times New Roman" w:cs="Times New Roman"/>
                <w:iCs/>
                <w:sz w:val="24"/>
                <w:szCs w:val="24"/>
              </w:rPr>
              <w:t>pdf</w:t>
            </w:r>
            <w:proofErr w:type="spellEnd"/>
            <w:r w:rsidR="00B86A75" w:rsidRPr="002A4893">
              <w:rPr>
                <w:rFonts w:ascii="Times New Roman" w:hAnsi="Times New Roman" w:cs="Times New Roman"/>
                <w:iCs/>
                <w:sz w:val="24"/>
                <w:szCs w:val="24"/>
              </w:rPr>
              <w:t>“ или „</w:t>
            </w:r>
            <w:proofErr w:type="spellStart"/>
            <w:r w:rsidR="00B86A75" w:rsidRPr="002A4893">
              <w:rPr>
                <w:rFonts w:ascii="Times New Roman" w:hAnsi="Times New Roman" w:cs="Times New Roman"/>
                <w:iCs/>
                <w:sz w:val="24"/>
                <w:szCs w:val="24"/>
              </w:rPr>
              <w:t>jpg</w:t>
            </w:r>
            <w:proofErr w:type="spellEnd"/>
            <w:r w:rsidR="00B86A75"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proofErr w:type="spellStart"/>
            <w:r w:rsidR="00494C3B" w:rsidRPr="002A4893">
              <w:rPr>
                <w:rFonts w:ascii="Times New Roman" w:hAnsi="Times New Roman" w:cs="Times New Roman"/>
                <w:i/>
                <w:iCs/>
                <w:sz w:val="24"/>
                <w:szCs w:val="24"/>
              </w:rPr>
              <w:t>преместваеми</w:t>
            </w:r>
            <w:proofErr w:type="spellEnd"/>
            <w:r w:rsidR="00494C3B" w:rsidRPr="002A4893">
              <w:rPr>
                <w:rFonts w:ascii="Times New Roman" w:hAnsi="Times New Roman" w:cs="Times New Roman"/>
                <w:i/>
                <w:iCs/>
                <w:sz w:val="24"/>
                <w:szCs w:val="24"/>
              </w:rPr>
              <w:t xml:space="preserve">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w:t>
            </w:r>
            <w:proofErr w:type="spellStart"/>
            <w:r w:rsidR="00494C3B" w:rsidRPr="002A4893">
              <w:rPr>
                <w:rFonts w:ascii="Times New Roman" w:hAnsi="Times New Roman" w:cs="Times New Roman"/>
                <w:sz w:val="24"/>
                <w:szCs w:val="24"/>
              </w:rPr>
              <w:t>оферента</w:t>
            </w:r>
            <w:proofErr w:type="spellEnd"/>
            <w:r w:rsidR="00494C3B" w:rsidRPr="002A4893">
              <w:rPr>
                <w:rFonts w:ascii="Times New Roman" w:hAnsi="Times New Roman" w:cs="Times New Roman"/>
                <w:sz w:val="24"/>
                <w:szCs w:val="24"/>
              </w:rPr>
              <w:t xml:space="preserve">, срока на валидност </w:t>
            </w:r>
            <w:r w:rsidR="00494C3B" w:rsidRPr="002A4893">
              <w:rPr>
                <w:rFonts w:ascii="Times New Roman" w:hAnsi="Times New Roman" w:cs="Times New Roman"/>
                <w:sz w:val="24"/>
                <w:szCs w:val="24"/>
              </w:rPr>
              <w:lastRenderedPageBreak/>
              <w:t xml:space="preserve">на офертата, датата на издаване на офертата, подпис и печат на </w:t>
            </w:r>
            <w:proofErr w:type="spellStart"/>
            <w:r w:rsidR="00494C3B" w:rsidRPr="002A4893">
              <w:rPr>
                <w:rFonts w:ascii="Times New Roman" w:hAnsi="Times New Roman" w:cs="Times New Roman"/>
                <w:sz w:val="24"/>
                <w:szCs w:val="24"/>
              </w:rPr>
              <w:t>оферента</w:t>
            </w:r>
            <w:proofErr w:type="spellEnd"/>
            <w:r w:rsidR="00494C3B" w:rsidRPr="002A4893">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proofErr w:type="spellStart"/>
            <w:r w:rsidR="00FB44B6" w:rsidRPr="002A4893">
              <w:rPr>
                <w:rFonts w:ascii="Times New Roman" w:hAnsi="Times New Roman" w:cs="Times New Roman"/>
                <w:i/>
                <w:iCs/>
                <w:sz w:val="24"/>
                <w:szCs w:val="24"/>
              </w:rPr>
              <w:t>КЕП</w:t>
            </w:r>
            <w:proofErr w:type="spellEnd"/>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xml:space="preserve">, които съдържат наименование на </w:t>
            </w:r>
            <w:proofErr w:type="spellStart"/>
            <w:r w:rsidR="00494C3B" w:rsidRPr="002A4893">
              <w:rPr>
                <w:rFonts w:ascii="Times New Roman" w:hAnsi="Times New Roman" w:cs="Times New Roman"/>
                <w:sz w:val="24"/>
                <w:szCs w:val="24"/>
              </w:rPr>
              <w:t>оферента</w:t>
            </w:r>
            <w:proofErr w:type="spellEnd"/>
            <w:r w:rsidR="00494C3B" w:rsidRPr="002A4893">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494C3B" w:rsidRPr="002A4893">
              <w:rPr>
                <w:rFonts w:ascii="Times New Roman" w:hAnsi="Times New Roman" w:cs="Times New Roman"/>
                <w:sz w:val="24"/>
                <w:szCs w:val="24"/>
              </w:rPr>
              <w:t>оферента</w:t>
            </w:r>
            <w:proofErr w:type="spellEnd"/>
            <w:r w:rsidR="00494C3B" w:rsidRPr="002A4893">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 xml:space="preserve">В случаите на инвестиции за </w:t>
            </w:r>
            <w:proofErr w:type="spellStart"/>
            <w:r w:rsidR="00CA27C3" w:rsidRPr="002A4893">
              <w:rPr>
                <w:rFonts w:ascii="Times New Roman" w:hAnsi="Times New Roman" w:cs="Times New Roman"/>
                <w:sz w:val="24"/>
                <w:szCs w:val="24"/>
              </w:rPr>
              <w:t>СМР</w:t>
            </w:r>
            <w:proofErr w:type="spellEnd"/>
            <w:r w:rsidR="00CA27C3" w:rsidRPr="002A4893">
              <w:rPr>
                <w:rFonts w:ascii="Times New Roman" w:hAnsi="Times New Roman" w:cs="Times New Roman"/>
                <w:sz w:val="24"/>
                <w:szCs w:val="24"/>
              </w:rPr>
              <w:t xml:space="preserve"> към офертите се прилагат и количествено-стойностни сметки</w:t>
            </w:r>
            <w:r w:rsidR="00506CD9" w:rsidRPr="002A4893">
              <w:rPr>
                <w:rFonts w:ascii="Times New Roman" w:hAnsi="Times New Roman" w:cs="Times New Roman"/>
                <w:sz w:val="24"/>
                <w:szCs w:val="24"/>
              </w:rPr>
              <w:t xml:space="preserve"> (</w:t>
            </w:r>
            <w:proofErr w:type="spellStart"/>
            <w:r w:rsidR="00506CD9" w:rsidRPr="002A4893">
              <w:rPr>
                <w:rFonts w:ascii="Times New Roman" w:hAnsi="Times New Roman" w:cs="Times New Roman"/>
                <w:sz w:val="24"/>
                <w:szCs w:val="24"/>
              </w:rPr>
              <w:t>КСС</w:t>
            </w:r>
            <w:proofErr w:type="spellEnd"/>
            <w:r w:rsidR="00506CD9" w:rsidRPr="002A4893">
              <w:rPr>
                <w:rFonts w:ascii="Times New Roman" w:hAnsi="Times New Roman" w:cs="Times New Roman"/>
                <w:sz w:val="24"/>
                <w:szCs w:val="24"/>
              </w:rPr>
              <w:t>)</w:t>
            </w:r>
            <w:r w:rsidR="00CA27C3" w:rsidRPr="002A4893">
              <w:rPr>
                <w:rFonts w:ascii="Times New Roman" w:hAnsi="Times New Roman" w:cs="Times New Roman"/>
                <w:sz w:val="24"/>
                <w:szCs w:val="24"/>
              </w:rPr>
              <w:t xml:space="preserve"> във формат „</w:t>
            </w:r>
            <w:proofErr w:type="spellStart"/>
            <w:r w:rsidR="00CA27C3" w:rsidRPr="002A4893">
              <w:rPr>
                <w:rFonts w:ascii="Times New Roman" w:hAnsi="Times New Roman" w:cs="Times New Roman"/>
                <w:sz w:val="24"/>
                <w:szCs w:val="24"/>
              </w:rPr>
              <w:t>pdf</w:t>
            </w:r>
            <w:proofErr w:type="spellEnd"/>
            <w:r w:rsidR="00CA27C3" w:rsidRPr="002A4893">
              <w:rPr>
                <w:rFonts w:ascii="Times New Roman" w:hAnsi="Times New Roman" w:cs="Times New Roman"/>
                <w:sz w:val="24"/>
                <w:szCs w:val="24"/>
              </w:rPr>
              <w:t>“.</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 xml:space="preserve">“ </w:t>
            </w:r>
            <w:r w:rsidR="00BE7B24" w:rsidRPr="002A4893">
              <w:rPr>
                <w:rFonts w:ascii="Times New Roman" w:eastAsia="Calibri" w:hAnsi="Times New Roman" w:cs="Times New Roman"/>
                <w:sz w:val="24"/>
                <w:szCs w:val="24"/>
              </w:rPr>
              <w:t xml:space="preserve">или електронно подписани с </w:t>
            </w:r>
            <w:proofErr w:type="spellStart"/>
            <w:r w:rsidR="00FB44B6" w:rsidRPr="002A4893">
              <w:rPr>
                <w:rFonts w:ascii="Times New Roman" w:eastAsia="Calibri" w:hAnsi="Times New Roman" w:cs="Times New Roman"/>
                <w:sz w:val="24"/>
                <w:szCs w:val="24"/>
              </w:rPr>
              <w:t>КЕП</w:t>
            </w:r>
            <w:proofErr w:type="spellEnd"/>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w:t>
            </w:r>
            <w:proofErr w:type="spellStart"/>
            <w:r w:rsidR="00494C3B" w:rsidRPr="002A4893">
              <w:rPr>
                <w:rFonts w:ascii="Times New Roman" w:hAnsi="Times New Roman" w:cs="Times New Roman"/>
                <w:sz w:val="24"/>
                <w:szCs w:val="24"/>
              </w:rPr>
              <w:t>отводки</w:t>
            </w:r>
            <w:proofErr w:type="spellEnd"/>
            <w:r w:rsidR="00494C3B" w:rsidRPr="002A4893">
              <w:rPr>
                <w:rFonts w:ascii="Times New Roman" w:hAnsi="Times New Roman" w:cs="Times New Roman"/>
                <w:sz w:val="24"/>
                <w:szCs w:val="24"/>
              </w:rPr>
              <w:t xml:space="preserve">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1.</w:t>
            </w:r>
            <w:proofErr w:type="spellStart"/>
            <w:r w:rsidR="001C06BF" w:rsidRPr="00B83087">
              <w:rPr>
                <w:rFonts w:ascii="Times New Roman" w:hAnsi="Times New Roman" w:cs="Times New Roman"/>
                <w:i/>
                <w:sz w:val="24"/>
              </w:rPr>
              <w:t>1</w:t>
            </w:r>
            <w:proofErr w:type="spellEnd"/>
            <w:r w:rsidR="001C06BF" w:rsidRPr="00B83087">
              <w:rPr>
                <w:rFonts w:ascii="Times New Roman" w:hAnsi="Times New Roman" w:cs="Times New Roman"/>
                <w:i/>
                <w:sz w:val="24"/>
              </w:rPr>
              <w:t xml:space="preserve">.4.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rar</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w:t>
            </w:r>
            <w:r w:rsidR="00F05A9B" w:rsidRPr="002A4893">
              <w:rPr>
                <w:rFonts w:ascii="Times New Roman" w:hAnsi="Times New Roman" w:cs="Times New Roman"/>
                <w:i/>
                <w:sz w:val="24"/>
                <w:szCs w:val="24"/>
              </w:rPr>
              <w:lastRenderedPageBreak/>
              <w:t>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 xml:space="preserve">. В случаите на инвестиции за </w:t>
            </w:r>
            <w:proofErr w:type="spellStart"/>
            <w:r w:rsidRPr="002A4893">
              <w:rPr>
                <w:rFonts w:ascii="Times New Roman" w:hAnsi="Times New Roman" w:cs="Times New Roman"/>
                <w:sz w:val="24"/>
                <w:szCs w:val="24"/>
              </w:rPr>
              <w:t>СМР</w:t>
            </w:r>
            <w:proofErr w:type="spellEnd"/>
            <w:r w:rsidRPr="002A4893">
              <w:rPr>
                <w:rFonts w:ascii="Times New Roman" w:hAnsi="Times New Roman" w:cs="Times New Roman"/>
                <w:sz w:val="24"/>
                <w:szCs w:val="24"/>
              </w:rPr>
              <w:t xml:space="preserve"> към договорите се прилагат и </w:t>
            </w:r>
            <w:proofErr w:type="spellStart"/>
            <w:r w:rsidR="00506CD9" w:rsidRPr="002A4893">
              <w:rPr>
                <w:rFonts w:ascii="Times New Roman" w:hAnsi="Times New Roman" w:cs="Times New Roman"/>
                <w:sz w:val="24"/>
                <w:szCs w:val="24"/>
              </w:rPr>
              <w:t>КСС</w:t>
            </w:r>
            <w:proofErr w:type="spellEnd"/>
            <w:r w:rsidRPr="002A4893">
              <w:rPr>
                <w:rFonts w:ascii="Times New Roman" w:hAnsi="Times New Roman" w:cs="Times New Roman"/>
                <w:sz w:val="24"/>
                <w:szCs w:val="24"/>
              </w:rPr>
              <w:t xml:space="preserve">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xml:space="preserve">“.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w:t>
            </w:r>
            <w:proofErr w:type="spellStart"/>
            <w:r w:rsidR="00AE34BD" w:rsidRPr="002A4893">
              <w:rPr>
                <w:rFonts w:ascii="Times New Roman" w:hAnsi="Times New Roman" w:cs="Times New Roman"/>
                <w:sz w:val="24"/>
                <w:szCs w:val="24"/>
              </w:rPr>
              <w:t>ЗВ</w:t>
            </w:r>
            <w:proofErr w:type="spellEnd"/>
            <w:r w:rsidR="00AE34BD" w:rsidRPr="002A4893">
              <w:rPr>
                <w:rFonts w:ascii="Times New Roman" w:hAnsi="Times New Roman" w:cs="Times New Roman"/>
                <w:sz w:val="24"/>
                <w:szCs w:val="24"/>
              </w:rPr>
              <w:t>.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 xml:space="preserve">“. </w:t>
            </w:r>
            <w:r w:rsidR="00AE34BD" w:rsidRPr="002A4893">
              <w:rPr>
                <w:rFonts w:ascii="Times New Roman" w:hAnsi="Times New Roman" w:cs="Times New Roman"/>
                <w:i/>
                <w:sz w:val="24"/>
                <w:szCs w:val="24"/>
              </w:rPr>
              <w:t xml:space="preserve">(Представя се само от местни поделения на вероизповеданията по чл. 20 от </w:t>
            </w:r>
            <w:proofErr w:type="spellStart"/>
            <w:r w:rsidR="00AE34BD" w:rsidRPr="002A4893">
              <w:rPr>
                <w:rFonts w:ascii="Times New Roman" w:hAnsi="Times New Roman" w:cs="Times New Roman"/>
                <w:i/>
                <w:sz w:val="24"/>
                <w:szCs w:val="24"/>
              </w:rPr>
              <w:t>ЗВ</w:t>
            </w:r>
            <w:proofErr w:type="spellEnd"/>
            <w:r w:rsidR="00AE34BD" w:rsidRPr="002A4893">
              <w:rPr>
                <w:rFonts w:ascii="Times New Roman" w:hAnsi="Times New Roman" w:cs="Times New Roman"/>
                <w:i/>
                <w:sz w:val="24"/>
                <w:szCs w:val="24"/>
              </w:rPr>
              <w:t>).</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w:t>
            </w:r>
            <w:proofErr w:type="spellStart"/>
            <w:r w:rsidR="00113F2F" w:rsidRPr="002A4893">
              <w:rPr>
                <w:rFonts w:ascii="Times New Roman" w:hAnsi="Times New Roman" w:cs="Times New Roman"/>
                <w:sz w:val="24"/>
                <w:szCs w:val="24"/>
              </w:rPr>
              <w:t>pdf</w:t>
            </w:r>
            <w:proofErr w:type="spellEnd"/>
            <w:r w:rsidR="00113F2F" w:rsidRPr="002A4893">
              <w:rPr>
                <w:rFonts w:ascii="Times New Roman" w:hAnsi="Times New Roman" w:cs="Times New Roman"/>
                <w:sz w:val="24"/>
                <w:szCs w:val="24"/>
              </w:rPr>
              <w:t>“ или „</w:t>
            </w:r>
            <w:proofErr w:type="spellStart"/>
            <w:r w:rsidR="00113F2F" w:rsidRPr="002A4893">
              <w:rPr>
                <w:rFonts w:ascii="Times New Roman" w:hAnsi="Times New Roman" w:cs="Times New Roman"/>
                <w:sz w:val="24"/>
                <w:szCs w:val="24"/>
              </w:rPr>
              <w:t>jpg</w:t>
            </w:r>
            <w:proofErr w:type="spellEnd"/>
            <w:r w:rsidR="00113F2F" w:rsidRPr="002A4893">
              <w:rPr>
                <w:rFonts w:ascii="Times New Roman" w:hAnsi="Times New Roman" w:cs="Times New Roman"/>
                <w:sz w:val="24"/>
                <w:szCs w:val="24"/>
              </w:rPr>
              <w:t>“.</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A4893">
              <w:rPr>
                <w:rFonts w:ascii="Times New Roman" w:hAnsi="Times New Roman" w:cs="Times New Roman"/>
                <w:iCs/>
                <w:sz w:val="24"/>
                <w:szCs w:val="24"/>
              </w:rPr>
              <w:t>публичноправни</w:t>
            </w:r>
            <w:proofErr w:type="spellEnd"/>
            <w:r w:rsidR="00A154E0" w:rsidRPr="002A4893">
              <w:rPr>
                <w:rFonts w:ascii="Times New Roman" w:hAnsi="Times New Roman" w:cs="Times New Roman"/>
                <w:iCs/>
                <w:sz w:val="24"/>
                <w:szCs w:val="24"/>
              </w:rPr>
              <w:t xml:space="preserve"> организации. Представя се във формат „</w:t>
            </w:r>
            <w:proofErr w:type="spellStart"/>
            <w:r w:rsidR="00A154E0" w:rsidRPr="002A4893">
              <w:rPr>
                <w:rFonts w:ascii="Times New Roman" w:hAnsi="Times New Roman" w:cs="Times New Roman"/>
                <w:iCs/>
                <w:sz w:val="24"/>
                <w:szCs w:val="24"/>
              </w:rPr>
              <w:t>pdf</w:t>
            </w:r>
            <w:proofErr w:type="spellEnd"/>
            <w:r w:rsidR="00A154E0" w:rsidRPr="002A4893">
              <w:rPr>
                <w:rFonts w:ascii="Times New Roman" w:hAnsi="Times New Roman" w:cs="Times New Roman"/>
                <w:iCs/>
                <w:sz w:val="24"/>
                <w:szCs w:val="24"/>
              </w:rPr>
              <w:t>“ или „</w:t>
            </w:r>
            <w:proofErr w:type="spellStart"/>
            <w:r w:rsidR="00A154E0" w:rsidRPr="002A4893">
              <w:rPr>
                <w:rFonts w:ascii="Times New Roman" w:hAnsi="Times New Roman" w:cs="Times New Roman"/>
                <w:iCs/>
                <w:sz w:val="24"/>
                <w:szCs w:val="24"/>
              </w:rPr>
              <w:t>jpg</w:t>
            </w:r>
            <w:proofErr w:type="spellEnd"/>
            <w:r w:rsidR="00A154E0" w:rsidRPr="002A4893">
              <w:rPr>
                <w:rFonts w:ascii="Times New Roman" w:hAnsi="Times New Roman" w:cs="Times New Roman"/>
                <w:iCs/>
                <w:sz w:val="24"/>
                <w:szCs w:val="24"/>
              </w:rPr>
              <w:t>”.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A4893">
              <w:rPr>
                <w:rFonts w:ascii="Times New Roman" w:hAnsi="Times New Roman" w:cs="Times New Roman"/>
                <w:sz w:val="24"/>
                <w:szCs w:val="24"/>
              </w:rPr>
              <w:t>pdf</w:t>
            </w:r>
            <w:proofErr w:type="spellEnd"/>
            <w:r w:rsidR="009751BF" w:rsidRPr="002A4893">
              <w:rPr>
                <w:rFonts w:ascii="Times New Roman" w:hAnsi="Times New Roman" w:cs="Times New Roman"/>
                <w:sz w:val="24"/>
                <w:szCs w:val="24"/>
              </w:rPr>
              <w:t>“ или „</w:t>
            </w:r>
            <w:proofErr w:type="spellStart"/>
            <w:r w:rsidR="009751BF" w:rsidRPr="002A4893">
              <w:rPr>
                <w:rFonts w:ascii="Times New Roman" w:hAnsi="Times New Roman" w:cs="Times New Roman"/>
                <w:sz w:val="24"/>
                <w:szCs w:val="24"/>
              </w:rPr>
              <w:t>jpg</w:t>
            </w:r>
            <w:proofErr w:type="spellEnd"/>
            <w:r w:rsidR="009751BF" w:rsidRPr="002A4893">
              <w:rPr>
                <w:rFonts w:ascii="Times New Roman" w:hAnsi="Times New Roman" w:cs="Times New Roman"/>
                <w:sz w:val="24"/>
                <w:szCs w:val="24"/>
              </w:rPr>
              <w:t xml:space="preserve">“.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w:t>
            </w:r>
            <w:proofErr w:type="spellStart"/>
            <w:r w:rsidRPr="002A4893">
              <w:rPr>
                <w:rFonts w:ascii="Times New Roman" w:hAnsi="Times New Roman" w:cs="Times New Roman"/>
                <w:sz w:val="24"/>
                <w:szCs w:val="24"/>
              </w:rPr>
              <w:t>КИИП</w:t>
            </w:r>
            <w:proofErr w:type="spellEnd"/>
            <w:r w:rsidRPr="002A4893">
              <w:rPr>
                <w:rFonts w:ascii="Times New Roman" w:hAnsi="Times New Roman" w:cs="Times New Roman"/>
                <w:sz w:val="24"/>
                <w:szCs w:val="24"/>
              </w:rPr>
              <w:t xml:space="preserve">) </w:t>
            </w:r>
            <w:r w:rsidRPr="002A4893">
              <w:rPr>
                <w:rFonts w:ascii="Times New Roman" w:hAnsi="Times New Roman" w:cs="Times New Roman"/>
                <w:i/>
                <w:sz w:val="24"/>
                <w:szCs w:val="24"/>
              </w:rPr>
              <w:t xml:space="preserve">(важи в случаите на инвестиции за производство на енергия от </w:t>
            </w:r>
            <w:proofErr w:type="spellStart"/>
            <w:r w:rsidRPr="002A4893">
              <w:rPr>
                <w:rFonts w:ascii="Times New Roman" w:hAnsi="Times New Roman" w:cs="Times New Roman"/>
                <w:i/>
                <w:sz w:val="24"/>
                <w:szCs w:val="24"/>
              </w:rPr>
              <w:t>ВЕИ</w:t>
            </w:r>
            <w:proofErr w:type="spellEnd"/>
            <w:r w:rsidRPr="002A4893">
              <w:rPr>
                <w:rFonts w:ascii="Times New Roman" w:hAnsi="Times New Roman" w:cs="Times New Roman"/>
                <w:i/>
                <w:sz w:val="24"/>
                <w:szCs w:val="24"/>
              </w:rPr>
              <w:t>)</w:t>
            </w:r>
            <w:r w:rsidRPr="002A4893">
              <w:rPr>
                <w:rFonts w:ascii="Times New Roman" w:hAnsi="Times New Roman" w:cs="Times New Roman"/>
                <w:sz w:val="24"/>
                <w:szCs w:val="24"/>
              </w:rPr>
              <w:t xml:space="preserve">. Представя се </w:t>
            </w:r>
            <w:r w:rsidRPr="002A4893">
              <w:rPr>
                <w:rFonts w:ascii="Times New Roman" w:hAnsi="Times New Roman" w:cs="Times New Roman"/>
                <w:sz w:val="24"/>
                <w:szCs w:val="24"/>
              </w:rPr>
              <w:lastRenderedPageBreak/>
              <w:t>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lang w:val="en-US"/>
              </w:rPr>
              <w:t>”</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w:t>
            </w:r>
            <w:proofErr w:type="spellStart"/>
            <w:r w:rsidR="00A335C9" w:rsidRPr="002A4893">
              <w:rPr>
                <w:rFonts w:ascii="Times New Roman" w:eastAsia="Times New Roman" w:hAnsi="Times New Roman" w:cs="Times New Roman"/>
                <w:sz w:val="24"/>
                <w:szCs w:val="24"/>
              </w:rPr>
              <w:t>водовземане</w:t>
            </w:r>
            <w:proofErr w:type="spellEnd"/>
            <w:r w:rsidR="00A335C9" w:rsidRPr="002A4893">
              <w:rPr>
                <w:rFonts w:ascii="Times New Roman" w:eastAsia="Times New Roman" w:hAnsi="Times New Roman" w:cs="Times New Roman"/>
                <w:sz w:val="24"/>
                <w:szCs w:val="24"/>
              </w:rPr>
              <w:t xml:space="preserve">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w:t>
            </w:r>
            <w:proofErr w:type="spellStart"/>
            <w:r w:rsidR="008A13FF" w:rsidRPr="002A4893">
              <w:rPr>
                <w:rFonts w:ascii="Times New Roman" w:hAnsi="Times New Roman" w:cs="Times New Roman"/>
                <w:i/>
                <w:iCs/>
                <w:sz w:val="24"/>
                <w:szCs w:val="24"/>
              </w:rPr>
              <w:t>водовземане</w:t>
            </w:r>
            <w:proofErr w:type="spellEnd"/>
            <w:r w:rsidR="008A13FF" w:rsidRPr="002A4893">
              <w:rPr>
                <w:rFonts w:ascii="Times New Roman" w:hAnsi="Times New Roman" w:cs="Times New Roman"/>
                <w:i/>
                <w:iCs/>
                <w:sz w:val="24"/>
                <w:szCs w:val="24"/>
              </w:rPr>
              <w:t xml:space="preserve"> не е издадено,се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proofErr w:type="spellStart"/>
            <w:r w:rsidR="00277A2D" w:rsidRPr="002A4893">
              <w:rPr>
                <w:rFonts w:ascii="Times New Roman" w:eastAsia="Times New Roman" w:hAnsi="Times New Roman" w:cs="Times New Roman"/>
                <w:sz w:val="24"/>
                <w:szCs w:val="24"/>
              </w:rPr>
              <w:t>ЗВ</w:t>
            </w:r>
            <w:proofErr w:type="spellEnd"/>
            <w:r w:rsidR="00A335C9" w:rsidRPr="002A4893">
              <w:rPr>
                <w:rFonts w:ascii="Times New Roman" w:eastAsia="Times New Roman" w:hAnsi="Times New Roman" w:cs="Times New Roman"/>
                <w:sz w:val="24"/>
                <w:szCs w:val="24"/>
              </w:rPr>
              <w:t xml:space="preserve">, издадено от директора на съответната </w:t>
            </w:r>
            <w:proofErr w:type="spellStart"/>
            <w:r w:rsidR="00A335C9" w:rsidRPr="002A4893">
              <w:rPr>
                <w:rFonts w:ascii="Times New Roman" w:eastAsia="Times New Roman" w:hAnsi="Times New Roman" w:cs="Times New Roman"/>
                <w:sz w:val="24"/>
                <w:szCs w:val="24"/>
              </w:rPr>
              <w:t>Басейнова</w:t>
            </w:r>
            <w:proofErr w:type="spellEnd"/>
            <w:r w:rsidR="00A335C9" w:rsidRPr="002A4893">
              <w:rPr>
                <w:rFonts w:ascii="Times New Roman" w:eastAsia="Times New Roman" w:hAnsi="Times New Roman" w:cs="Times New Roman"/>
                <w:sz w:val="24"/>
                <w:szCs w:val="24"/>
              </w:rPr>
              <w:t xml:space="preserve">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Представя се във формат „</w:t>
            </w:r>
            <w:proofErr w:type="spellStart"/>
            <w:r w:rsidR="003D5BBC" w:rsidRPr="002A4893">
              <w:rPr>
                <w:rFonts w:ascii="Times New Roman" w:hAnsi="Times New Roman" w:cs="Times New Roman"/>
                <w:iCs/>
                <w:sz w:val="24"/>
                <w:szCs w:val="24"/>
              </w:rPr>
              <w:t>pdf</w:t>
            </w:r>
            <w:proofErr w:type="spellEnd"/>
            <w:r w:rsidR="003D5BBC" w:rsidRPr="002A4893">
              <w:rPr>
                <w:rFonts w:ascii="Times New Roman" w:hAnsi="Times New Roman" w:cs="Times New Roman"/>
                <w:iCs/>
                <w:sz w:val="24"/>
                <w:szCs w:val="24"/>
              </w:rPr>
              <w:t>“ или „</w:t>
            </w:r>
            <w:proofErr w:type="spellStart"/>
            <w:r w:rsidR="003D5BBC" w:rsidRPr="002A4893">
              <w:rPr>
                <w:rFonts w:ascii="Times New Roman" w:hAnsi="Times New Roman" w:cs="Times New Roman"/>
                <w:iCs/>
                <w:sz w:val="24"/>
                <w:szCs w:val="24"/>
              </w:rPr>
              <w:t>jpg</w:t>
            </w:r>
            <w:proofErr w:type="spellEnd"/>
            <w:r w:rsidR="003D5BBC" w:rsidRPr="002A4893">
              <w:rPr>
                <w:rFonts w:ascii="Times New Roman" w:hAnsi="Times New Roman" w:cs="Times New Roman"/>
                <w:iCs/>
                <w:sz w:val="24"/>
                <w:szCs w:val="24"/>
              </w:rPr>
              <w:t xml:space="preserve">“.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документът не е издаден,</w:t>
            </w:r>
            <w:r w:rsidR="003D5BBC" w:rsidRPr="002A4893">
              <w:rPr>
                <w:rFonts w:ascii="Times New Roman" w:hAnsi="Times New Roman" w:cs="Times New Roman"/>
                <w:i/>
                <w:iCs/>
                <w:sz w:val="24"/>
                <w:szCs w:val="24"/>
              </w:rPr>
              <w:t xml:space="preserve">се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proofErr w:type="spellStart"/>
            <w:r w:rsidR="00B213C1" w:rsidRPr="002A4893">
              <w:rPr>
                <w:rFonts w:ascii="Times New Roman" w:hAnsi="Times New Roman" w:cs="Times New Roman"/>
                <w:iCs/>
                <w:sz w:val="24"/>
                <w:szCs w:val="24"/>
                <w:lang w:val="en-US"/>
              </w:rPr>
              <w:t>rar</w:t>
            </w:r>
            <w:proofErr w:type="spellEnd"/>
            <w:r w:rsidR="00B213C1" w:rsidRPr="002A4893">
              <w:rPr>
                <w:rFonts w:ascii="Times New Roman" w:hAnsi="Times New Roman" w:cs="Times New Roman"/>
                <w:iCs/>
                <w:sz w:val="24"/>
                <w:szCs w:val="24"/>
                <w:lang w:val="en-US"/>
              </w:rPr>
              <w:t>”</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w:t>
            </w:r>
            <w:proofErr w:type="spellStart"/>
            <w:r w:rsidRPr="002A4893">
              <w:rPr>
                <w:rFonts w:ascii="Times New Roman" w:hAnsi="Times New Roman" w:cs="Times New Roman"/>
                <w:iCs/>
                <w:sz w:val="24"/>
                <w:szCs w:val="24"/>
              </w:rPr>
              <w:t>БАБХ</w:t>
            </w:r>
            <w:proofErr w:type="spellEnd"/>
            <w:r w:rsidRPr="002A4893">
              <w:rPr>
                <w:rFonts w:ascii="Times New Roman" w:hAnsi="Times New Roman" w:cs="Times New Roman"/>
                <w:iCs/>
                <w:sz w:val="24"/>
                <w:szCs w:val="24"/>
              </w:rPr>
              <w:t xml:space="preserve">, удостоверяващ съответствието на животновъдният обект с </w:t>
            </w:r>
            <w:proofErr w:type="spellStart"/>
            <w:r w:rsidRPr="002A4893">
              <w:rPr>
                <w:rFonts w:ascii="Times New Roman" w:hAnsi="Times New Roman" w:cs="Times New Roman"/>
                <w:iCs/>
                <w:sz w:val="24"/>
                <w:szCs w:val="24"/>
              </w:rPr>
              <w:t>изискванитя</w:t>
            </w:r>
            <w:proofErr w:type="spellEnd"/>
            <w:r w:rsidRPr="002A4893">
              <w:rPr>
                <w:rFonts w:ascii="Times New Roman" w:hAnsi="Times New Roman" w:cs="Times New Roman"/>
                <w:iCs/>
                <w:sz w:val="24"/>
                <w:szCs w:val="24"/>
              </w:rPr>
              <w:t xml:space="preserve">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Представя се във формат „</w:t>
            </w:r>
            <w:proofErr w:type="spellStart"/>
            <w:r w:rsidR="006B30D9" w:rsidRPr="002A4893">
              <w:rPr>
                <w:rFonts w:ascii="Times New Roman" w:hAnsi="Times New Roman" w:cs="Times New Roman"/>
                <w:iCs/>
                <w:sz w:val="24"/>
                <w:szCs w:val="24"/>
              </w:rPr>
              <w:t>pdf</w:t>
            </w:r>
            <w:proofErr w:type="spellEnd"/>
            <w:r w:rsidR="006B30D9" w:rsidRPr="002A4893">
              <w:rPr>
                <w:rFonts w:ascii="Times New Roman" w:hAnsi="Times New Roman" w:cs="Times New Roman"/>
                <w:iCs/>
                <w:sz w:val="24"/>
                <w:szCs w:val="24"/>
              </w:rPr>
              <w:t>“ или „</w:t>
            </w:r>
            <w:proofErr w:type="spellStart"/>
            <w:r w:rsidR="006B30D9" w:rsidRPr="002A4893">
              <w:rPr>
                <w:rFonts w:ascii="Times New Roman" w:hAnsi="Times New Roman" w:cs="Times New Roman"/>
                <w:iCs/>
                <w:sz w:val="24"/>
                <w:szCs w:val="24"/>
              </w:rPr>
              <w:t>jpg</w:t>
            </w:r>
            <w:proofErr w:type="spellEnd"/>
            <w:r w:rsidR="006B30D9" w:rsidRPr="002A4893">
              <w:rPr>
                <w:rFonts w:ascii="Times New Roman" w:hAnsi="Times New Roman" w:cs="Times New Roman"/>
                <w:iCs/>
                <w:sz w:val="24"/>
                <w:szCs w:val="24"/>
              </w:rPr>
              <w:t xml:space="preserve">“.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издаден,се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00430AA8" w:rsidRPr="002A4893">
              <w:rPr>
                <w:rFonts w:ascii="Times New Roman" w:hAnsi="Times New Roman" w:cs="Times New Roman"/>
                <w:b/>
                <w:sz w:val="24"/>
                <w:szCs w:val="24"/>
              </w:rPr>
              <w:t>компетентия</w:t>
            </w:r>
            <w:proofErr w:type="spellEnd"/>
            <w:r w:rsidR="00430AA8"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непредставяне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xml:space="preserve">,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w:t>
            </w:r>
            <w:r w:rsidR="00EB6799" w:rsidRPr="00EB6799">
              <w:rPr>
                <w:rFonts w:ascii="Times New Roman" w:hAnsi="Times New Roman" w:cs="Times New Roman"/>
                <w:b/>
                <w:sz w:val="24"/>
                <w:szCs w:val="24"/>
                <w:shd w:val="clear" w:color="auto" w:fill="BFBFBF" w:themeFill="background1" w:themeFillShade="BF"/>
              </w:rPr>
              <w:lastRenderedPageBreak/>
              <w:t>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0"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0"/>
    </w:p>
    <w:tbl>
      <w:tblPr>
        <w:tblStyle w:val="TableGrid"/>
        <w:tblW w:w="5000" w:type="pct"/>
        <w:tblLook w:val="04A0" w:firstRow="1" w:lastRow="0" w:firstColumn="1" w:lastColumn="0" w:noHBand="0" w:noVBand="1"/>
      </w:tblPr>
      <w:tblGrid>
        <w:gridCol w:w="9855"/>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w:t>
            </w:r>
            <w:proofErr w:type="spellStart"/>
            <w:r w:rsidR="00850188" w:rsidRPr="00F25C31">
              <w:rPr>
                <w:rFonts w:ascii="Times New Roman" w:hAnsi="Times New Roman" w:cs="Times New Roman"/>
                <w:sz w:val="24"/>
              </w:rPr>
              <w:t>НАП</w:t>
            </w:r>
            <w:proofErr w:type="spellEnd"/>
            <w:r w:rsidR="00850188" w:rsidRPr="00F25C31">
              <w:rPr>
                <w:rFonts w:ascii="Times New Roman" w:hAnsi="Times New Roman" w:cs="Times New Roman"/>
                <w:sz w:val="24"/>
              </w:rPr>
              <w:t>) на годишна данъчна декларация (</w:t>
            </w:r>
            <w:proofErr w:type="spellStart"/>
            <w:r w:rsidR="00850188" w:rsidRPr="00F25C31">
              <w:rPr>
                <w:rFonts w:ascii="Times New Roman" w:hAnsi="Times New Roman" w:cs="Times New Roman"/>
                <w:sz w:val="24"/>
              </w:rPr>
              <w:t>ГДД</w:t>
            </w:r>
            <w:proofErr w:type="spellEnd"/>
            <w:r w:rsidR="00850188" w:rsidRPr="00F25C31">
              <w:rPr>
                <w:rFonts w:ascii="Times New Roman" w:hAnsi="Times New Roman" w:cs="Times New Roman"/>
                <w:sz w:val="24"/>
              </w:rPr>
              <w:t xml:space="preserve">)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несъставящи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w:t>
            </w:r>
            <w:proofErr w:type="spellStart"/>
            <w:r w:rsidR="00850188" w:rsidRPr="0060217B">
              <w:rPr>
                <w:rFonts w:ascii="Times New Roman" w:hAnsi="Times New Roman" w:cs="Times New Roman"/>
                <w:sz w:val="24"/>
              </w:rPr>
              <w:t>pdf</w:t>
            </w:r>
            <w:proofErr w:type="spellEnd"/>
            <w:r w:rsidR="00850188" w:rsidRPr="0060217B">
              <w:rPr>
                <w:rFonts w:ascii="Times New Roman" w:hAnsi="Times New Roman" w:cs="Times New Roman"/>
                <w:sz w:val="24"/>
              </w:rPr>
              <w:t>“ или „</w:t>
            </w:r>
            <w:proofErr w:type="spellStart"/>
            <w:r w:rsidR="00850188" w:rsidRPr="0060217B">
              <w:rPr>
                <w:rFonts w:ascii="Times New Roman" w:hAnsi="Times New Roman" w:cs="Times New Roman"/>
                <w:sz w:val="24"/>
              </w:rPr>
              <w:t>jpg</w:t>
            </w:r>
            <w:proofErr w:type="spellEnd"/>
            <w:r w:rsidR="00850188" w:rsidRPr="0060217B">
              <w:rPr>
                <w:rFonts w:ascii="Times New Roman" w:hAnsi="Times New Roman" w:cs="Times New Roman"/>
                <w:sz w:val="24"/>
              </w:rPr>
              <w:t xml:space="preserve">”.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w:t>
            </w:r>
            <w:proofErr w:type="spellStart"/>
            <w:r w:rsidR="0025039D" w:rsidRPr="002A4893">
              <w:rPr>
                <w:rFonts w:ascii="Times New Roman" w:hAnsi="Times New Roman" w:cs="Times New Roman"/>
                <w:sz w:val="24"/>
                <w:szCs w:val="24"/>
              </w:rPr>
              <w:t>ЗПООПЗПЕС</w:t>
            </w:r>
            <w:proofErr w:type="spellEnd"/>
            <w:r w:rsidR="0025039D" w:rsidRPr="002A4893">
              <w:rPr>
                <w:rFonts w:ascii="Times New Roman" w:hAnsi="Times New Roman" w:cs="Times New Roman"/>
                <w:sz w:val="24"/>
                <w:szCs w:val="24"/>
              </w:rPr>
              <w:t>)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w:t>
            </w:r>
            <w:proofErr w:type="spellStart"/>
            <w:r w:rsidR="0025039D" w:rsidRPr="002A4893">
              <w:rPr>
                <w:rFonts w:ascii="Times New Roman" w:hAnsi="Times New Roman" w:cs="Times New Roman"/>
                <w:sz w:val="24"/>
                <w:szCs w:val="24"/>
              </w:rPr>
              <w:t>ЗПООПЗПЕС</w:t>
            </w:r>
            <w:proofErr w:type="spellEnd"/>
            <w:r w:rsidR="0025039D" w:rsidRPr="002A4893">
              <w:rPr>
                <w:rFonts w:ascii="Times New Roman" w:hAnsi="Times New Roman" w:cs="Times New Roman"/>
                <w:sz w:val="24"/>
                <w:szCs w:val="24"/>
              </w:rPr>
              <w:t xml:space="preserve">,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w:t>
            </w:r>
            <w:proofErr w:type="spellStart"/>
            <w:r w:rsidR="0025039D" w:rsidRPr="002A4893">
              <w:rPr>
                <w:rFonts w:ascii="Times New Roman" w:hAnsi="Times New Roman" w:cs="Times New Roman"/>
                <w:iCs/>
                <w:sz w:val="24"/>
                <w:szCs w:val="24"/>
              </w:rPr>
              <w:t>pdf</w:t>
            </w:r>
            <w:proofErr w:type="spellEnd"/>
            <w:r w:rsidR="0025039D" w:rsidRPr="002A4893">
              <w:rPr>
                <w:rFonts w:ascii="Times New Roman" w:hAnsi="Times New Roman" w:cs="Times New Roman"/>
                <w:iCs/>
                <w:sz w:val="24"/>
                <w:szCs w:val="24"/>
              </w:rPr>
              <w:t>“</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w:t>
            </w:r>
            <w:proofErr w:type="spellStart"/>
            <w:r w:rsidR="0025039D" w:rsidRPr="002A4893">
              <w:rPr>
                <w:rFonts w:ascii="Times New Roman" w:hAnsi="Times New Roman" w:cs="Times New Roman"/>
                <w:iCs/>
                <w:sz w:val="24"/>
                <w:szCs w:val="24"/>
              </w:rPr>
              <w:t>jpg</w:t>
            </w:r>
            <w:proofErr w:type="spellEnd"/>
            <w:r w:rsidR="0025039D" w:rsidRPr="002A4893">
              <w:rPr>
                <w:rFonts w:ascii="Times New Roman" w:hAnsi="Times New Roman" w:cs="Times New Roman"/>
                <w:iCs/>
                <w:sz w:val="24"/>
                <w:szCs w:val="24"/>
              </w:rPr>
              <w:t>”.</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w:t>
            </w:r>
            <w:proofErr w:type="spellStart"/>
            <w:r w:rsidR="000C71A2" w:rsidRPr="002A4893">
              <w:rPr>
                <w:rFonts w:ascii="Times New Roman" w:hAnsi="Times New Roman" w:cs="Times New Roman"/>
                <w:iCs/>
                <w:sz w:val="24"/>
                <w:szCs w:val="24"/>
              </w:rPr>
              <w:t>pdf</w:t>
            </w:r>
            <w:proofErr w:type="spellEnd"/>
            <w:r w:rsidR="000C71A2" w:rsidRPr="002A4893">
              <w:rPr>
                <w:rFonts w:ascii="Times New Roman" w:hAnsi="Times New Roman" w:cs="Times New Roman"/>
                <w:iCs/>
                <w:sz w:val="24"/>
                <w:szCs w:val="24"/>
              </w:rPr>
              <w:t>“</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или „</w:t>
            </w:r>
            <w:proofErr w:type="spellStart"/>
            <w:r w:rsidR="000C71A2" w:rsidRPr="002A4893">
              <w:rPr>
                <w:rFonts w:ascii="Times New Roman" w:hAnsi="Times New Roman" w:cs="Times New Roman"/>
                <w:iCs/>
                <w:sz w:val="24"/>
                <w:szCs w:val="24"/>
              </w:rPr>
              <w:t>jpg</w:t>
            </w:r>
            <w:proofErr w:type="spellEnd"/>
            <w:r w:rsidR="000C71A2" w:rsidRPr="002A4893">
              <w:rPr>
                <w:rFonts w:ascii="Times New Roman" w:hAnsi="Times New Roman" w:cs="Times New Roman"/>
                <w:iCs/>
                <w:sz w:val="24"/>
                <w:szCs w:val="24"/>
              </w:rPr>
              <w:t xml:space="preserve">”.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w:t>
            </w:r>
            <w:proofErr w:type="spellStart"/>
            <w:r w:rsidR="001574B4" w:rsidRPr="002A4893">
              <w:rPr>
                <w:rFonts w:ascii="Times New Roman" w:hAnsi="Times New Roman" w:cs="Times New Roman"/>
                <w:iCs/>
                <w:sz w:val="24"/>
                <w:szCs w:val="24"/>
              </w:rPr>
              <w:t>pdf</w:t>
            </w:r>
            <w:proofErr w:type="spellEnd"/>
            <w:r w:rsidR="001574B4" w:rsidRPr="002A4893">
              <w:rPr>
                <w:rFonts w:ascii="Times New Roman" w:hAnsi="Times New Roman" w:cs="Times New Roman"/>
                <w:iCs/>
                <w:sz w:val="24"/>
                <w:szCs w:val="24"/>
              </w:rPr>
              <w:t>“</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или „</w:t>
            </w:r>
            <w:proofErr w:type="spellStart"/>
            <w:r w:rsidR="001574B4" w:rsidRPr="002A4893">
              <w:rPr>
                <w:rFonts w:ascii="Times New Roman" w:hAnsi="Times New Roman" w:cs="Times New Roman"/>
                <w:iCs/>
                <w:sz w:val="24"/>
                <w:szCs w:val="24"/>
              </w:rPr>
              <w:t>jpg</w:t>
            </w:r>
            <w:proofErr w:type="spellEnd"/>
            <w:r w:rsidR="001574B4" w:rsidRPr="002A4893">
              <w:rPr>
                <w:rFonts w:ascii="Times New Roman" w:hAnsi="Times New Roman" w:cs="Times New Roman"/>
                <w:iCs/>
                <w:sz w:val="24"/>
                <w:szCs w:val="24"/>
              </w:rPr>
              <w:t xml:space="preserve">”.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w:t>
            </w:r>
            <w:proofErr w:type="spellStart"/>
            <w:r w:rsidR="00372310" w:rsidRPr="002A4893">
              <w:rPr>
                <w:rFonts w:ascii="Times New Roman" w:hAnsi="Times New Roman" w:cs="Times New Roman"/>
                <w:sz w:val="24"/>
                <w:szCs w:val="24"/>
              </w:rPr>
              <w:t>2</w:t>
            </w:r>
            <w:proofErr w:type="spellEnd"/>
            <w:r w:rsidR="00372310"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w:t>
            </w:r>
            <w:proofErr w:type="spellStart"/>
            <w:r w:rsidR="00372310" w:rsidRPr="002A4893">
              <w:rPr>
                <w:rFonts w:ascii="Times New Roman" w:hAnsi="Times New Roman" w:cs="Times New Roman"/>
                <w:i/>
                <w:sz w:val="24"/>
                <w:szCs w:val="24"/>
              </w:rPr>
              <w:t>2</w:t>
            </w:r>
            <w:proofErr w:type="spellEnd"/>
            <w:r w:rsidR="00372310" w:rsidRPr="002A4893">
              <w:rPr>
                <w:rFonts w:ascii="Times New Roman" w:hAnsi="Times New Roman" w:cs="Times New Roman"/>
                <w:i/>
                <w:sz w:val="24"/>
                <w:szCs w:val="24"/>
              </w:rPr>
              <w:t>.5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w:t>
            </w:r>
            <w:proofErr w:type="spellStart"/>
            <w:r w:rsidR="00091CD4" w:rsidRPr="002A4893">
              <w:rPr>
                <w:rFonts w:ascii="Times New Roman" w:hAnsi="Times New Roman" w:cs="Times New Roman"/>
                <w:sz w:val="24"/>
                <w:szCs w:val="24"/>
              </w:rPr>
              <w:t>pdf</w:t>
            </w:r>
            <w:proofErr w:type="spellEnd"/>
            <w:r w:rsidR="00091CD4" w:rsidRPr="002A4893">
              <w:rPr>
                <w:rFonts w:ascii="Times New Roman" w:hAnsi="Times New Roman" w:cs="Times New Roman"/>
                <w:sz w:val="24"/>
                <w:szCs w:val="24"/>
              </w:rPr>
              <w:t>“ или „</w:t>
            </w:r>
            <w:proofErr w:type="spellStart"/>
            <w:r w:rsidR="00091CD4" w:rsidRPr="002A4893">
              <w:rPr>
                <w:rFonts w:ascii="Times New Roman" w:hAnsi="Times New Roman" w:cs="Times New Roman"/>
                <w:sz w:val="24"/>
                <w:szCs w:val="24"/>
              </w:rPr>
              <w:t>jpg</w:t>
            </w:r>
            <w:proofErr w:type="spellEnd"/>
            <w:r w:rsidR="00091CD4" w:rsidRPr="002A4893">
              <w:rPr>
                <w:rFonts w:ascii="Times New Roman" w:hAnsi="Times New Roman" w:cs="Times New Roman"/>
                <w:sz w:val="24"/>
                <w:szCs w:val="24"/>
              </w:rPr>
              <w:t>”.</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lastRenderedPageBreak/>
              <w:t xml:space="preserve">върху които са разположени всички </w:t>
            </w:r>
            <w:proofErr w:type="spellStart"/>
            <w:r w:rsidR="000A04C0" w:rsidRPr="002A4893">
              <w:rPr>
                <w:rFonts w:ascii="Times New Roman" w:hAnsi="Times New Roman" w:cs="Times New Roman"/>
                <w:sz w:val="24"/>
                <w:szCs w:val="24"/>
              </w:rPr>
              <w:t>животновъдени</w:t>
            </w:r>
            <w:proofErr w:type="spellEnd"/>
            <w:r w:rsidR="000A04C0" w:rsidRPr="002A4893">
              <w:rPr>
                <w:rFonts w:ascii="Times New Roman" w:hAnsi="Times New Roman" w:cs="Times New Roman"/>
                <w:sz w:val="24"/>
                <w:szCs w:val="24"/>
              </w:rPr>
              <w:t xml:space="preserve"> обекти, оранжерии и </w:t>
            </w:r>
            <w:proofErr w:type="spellStart"/>
            <w:r w:rsidR="000A04C0" w:rsidRPr="002A4893">
              <w:rPr>
                <w:rFonts w:ascii="Times New Roman" w:hAnsi="Times New Roman" w:cs="Times New Roman"/>
                <w:sz w:val="24"/>
                <w:szCs w:val="24"/>
              </w:rPr>
              <w:t>гъбарници</w:t>
            </w:r>
            <w:proofErr w:type="spellEnd"/>
            <w:r w:rsidR="000A04C0" w:rsidRPr="002A4893">
              <w:rPr>
                <w:rFonts w:ascii="Times New Roman" w:hAnsi="Times New Roman" w:cs="Times New Roman"/>
                <w:sz w:val="24"/>
                <w:szCs w:val="24"/>
              </w:rPr>
              <w:t xml:space="preserve"> в </w:t>
            </w:r>
            <w:r w:rsidR="000C01D9">
              <w:rPr>
                <w:rFonts w:ascii="Times New Roman" w:hAnsi="Times New Roman" w:cs="Times New Roman"/>
                <w:sz w:val="24"/>
                <w:szCs w:val="24"/>
              </w:rPr>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w:t>
            </w:r>
            <w:proofErr w:type="spellStart"/>
            <w:r w:rsidR="00C4563D" w:rsidRPr="008902B2">
              <w:rPr>
                <w:rFonts w:ascii="Times New Roman" w:hAnsi="Times New Roman" w:cs="Times New Roman"/>
                <w:sz w:val="24"/>
              </w:rPr>
              <w:t>pdf</w:t>
            </w:r>
            <w:proofErr w:type="spellEnd"/>
            <w:r w:rsidR="00C4563D" w:rsidRPr="008902B2">
              <w:rPr>
                <w:rFonts w:ascii="Times New Roman" w:hAnsi="Times New Roman" w:cs="Times New Roman"/>
                <w:sz w:val="24"/>
              </w:rPr>
              <w:t>“ или „</w:t>
            </w:r>
            <w:proofErr w:type="spellStart"/>
            <w:r w:rsidR="00C4563D" w:rsidRPr="008902B2">
              <w:rPr>
                <w:rFonts w:ascii="Times New Roman" w:hAnsi="Times New Roman" w:cs="Times New Roman"/>
                <w:sz w:val="24"/>
              </w:rPr>
              <w:t>jpg</w:t>
            </w:r>
            <w:proofErr w:type="spellEnd"/>
            <w:r w:rsidR="00C4563D" w:rsidRPr="008902B2">
              <w:rPr>
                <w:rFonts w:ascii="Times New Roman" w:hAnsi="Times New Roman" w:cs="Times New Roman"/>
                <w:sz w:val="24"/>
              </w:rPr>
              <w:t>”.</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 xml:space="preserve">животновъдни обекти, оранжерии и </w:t>
            </w:r>
            <w:proofErr w:type="spellStart"/>
            <w:r w:rsidR="00C4563D" w:rsidRPr="002A4893">
              <w:rPr>
                <w:rFonts w:ascii="Times New Roman" w:hAnsi="Times New Roman" w:cs="Times New Roman"/>
                <w:i/>
                <w:sz w:val="24"/>
                <w:szCs w:val="24"/>
              </w:rPr>
              <w:t>гъбарници</w:t>
            </w:r>
            <w:proofErr w:type="spellEnd"/>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w:t>
            </w:r>
            <w:proofErr w:type="spellStart"/>
            <w:r w:rsidR="00B75FD5" w:rsidRPr="002A4893">
              <w:rPr>
                <w:rFonts w:ascii="Times New Roman" w:hAnsi="Times New Roman" w:cs="Times New Roman"/>
                <w:iCs/>
                <w:sz w:val="24"/>
                <w:szCs w:val="24"/>
              </w:rPr>
              <w:t>doc</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docx</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1" w:name="_Toc69388928"/>
      <w:r w:rsidRPr="008902B2">
        <w:rPr>
          <w:rFonts w:cs="Times New Roman"/>
        </w:rPr>
        <w:lastRenderedPageBreak/>
        <w:t>25.</w:t>
      </w:r>
      <w:r w:rsidRPr="0060217B">
        <w:rPr>
          <w:rFonts w:cs="Times New Roman"/>
        </w:rPr>
        <w:t xml:space="preserve"> Краен срок за подаване на проектните предложения:</w:t>
      </w:r>
      <w:bookmarkEnd w:id="41"/>
    </w:p>
    <w:tbl>
      <w:tblPr>
        <w:tblStyle w:val="TableGrid"/>
        <w:tblW w:w="5000" w:type="pct"/>
        <w:tblLook w:val="04A0" w:firstRow="1" w:lastRow="0" w:firstColumn="1" w:lastColumn="0" w:noHBand="0" w:noVBand="1"/>
      </w:tblPr>
      <w:tblGrid>
        <w:gridCol w:w="9855"/>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proofErr w:type="spellStart"/>
            <w:r w:rsidR="007C31EC" w:rsidRPr="002A4893">
              <w:rPr>
                <w:rFonts w:ascii="Times New Roman" w:hAnsi="Times New Roman" w:cs="Times New Roman"/>
                <w:sz w:val="24"/>
                <w:szCs w:val="24"/>
              </w:rPr>
              <w:t>БФП</w:t>
            </w:r>
            <w:proofErr w:type="spellEnd"/>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w:t>
            </w:r>
            <w:proofErr w:type="spellStart"/>
            <w:r w:rsidRPr="002A4893">
              <w:rPr>
                <w:rFonts w:ascii="Times New Roman" w:eastAsia="Times New Roman" w:hAnsi="Times New Roman" w:cs="Times New Roman"/>
                <w:sz w:val="24"/>
                <w:szCs w:val="24"/>
                <w:shd w:val="clear" w:color="auto" w:fill="FEFEFE"/>
              </w:rPr>
              <w:t>ИСУН</w:t>
            </w:r>
            <w:proofErr w:type="spellEnd"/>
            <w:r w:rsidRPr="002A4893">
              <w:rPr>
                <w:rFonts w:ascii="Times New Roman" w:eastAsia="Times New Roman" w:hAnsi="Times New Roman" w:cs="Times New Roman"/>
                <w:sz w:val="24"/>
                <w:szCs w:val="24"/>
                <w:shd w:val="clear" w:color="auto" w:fill="FEFEFE"/>
              </w:rPr>
              <w:t xml:space="preserve">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20"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proofErr w:type="spellStart"/>
              <w:r w:rsidRPr="002A4893">
                <w:rPr>
                  <w:rStyle w:val="Hyperlink"/>
                  <w:rFonts w:ascii="Times New Roman" w:hAnsi="Times New Roman" w:cs="Times New Roman"/>
                  <w:color w:val="auto"/>
                  <w:sz w:val="24"/>
                  <w:szCs w:val="24"/>
                  <w:lang w:val="en-US"/>
                </w:rPr>
                <w:t>bg</w:t>
              </w:r>
              <w:proofErr w:type="spellEnd"/>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 xml:space="preserve">и в </w:t>
            </w:r>
            <w:proofErr w:type="spellStart"/>
            <w:r w:rsidRPr="002A4893">
              <w:rPr>
                <w:rStyle w:val="Hyperlink"/>
                <w:rFonts w:ascii="Times New Roman" w:hAnsi="Times New Roman" w:cs="Times New Roman"/>
                <w:color w:val="auto"/>
                <w:sz w:val="24"/>
                <w:szCs w:val="24"/>
                <w:u w:val="none"/>
              </w:rPr>
              <w:t>ИСУН</w:t>
            </w:r>
            <w:proofErr w:type="spellEnd"/>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proofErr w:type="spellStart"/>
            <w:r w:rsidR="004029D1" w:rsidRPr="002A4893">
              <w:rPr>
                <w:rFonts w:ascii="Times New Roman" w:hAnsi="Times New Roman" w:cs="Times New Roman"/>
                <w:sz w:val="24"/>
                <w:szCs w:val="24"/>
              </w:rPr>
              <w:t>УО</w:t>
            </w:r>
            <w:proofErr w:type="spellEnd"/>
            <w:r w:rsidRPr="002A4893">
              <w:rPr>
                <w:rFonts w:ascii="Times New Roman" w:hAnsi="Times New Roman" w:cs="Times New Roman"/>
                <w:sz w:val="24"/>
                <w:szCs w:val="24"/>
              </w:rPr>
              <w:t xml:space="preserve"> или </w:t>
            </w:r>
            <w:proofErr w:type="spellStart"/>
            <w:r w:rsidRPr="002A4893">
              <w:rPr>
                <w:rFonts w:ascii="Times New Roman" w:hAnsi="Times New Roman" w:cs="Times New Roman"/>
                <w:sz w:val="24"/>
                <w:szCs w:val="24"/>
              </w:rPr>
              <w:t>оправомощено</w:t>
            </w:r>
            <w:proofErr w:type="spellEnd"/>
            <w:r w:rsidRPr="002A4893">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1"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w:t>
            </w:r>
            <w:proofErr w:type="spellStart"/>
            <w:r w:rsidRPr="002A4893">
              <w:rPr>
                <w:rFonts w:ascii="Times New Roman" w:hAnsi="Times New Roman" w:cs="Times New Roman"/>
                <w:sz w:val="24"/>
                <w:szCs w:val="24"/>
              </w:rPr>
              <w:t>ИСУН</w:t>
            </w:r>
            <w:proofErr w:type="spellEnd"/>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w:t>
            </w:r>
            <w:bookmarkStart w:id="42" w:name="_GoBack"/>
            <w:bookmarkEnd w:id="42"/>
            <w:r w:rsidRPr="002A4893">
              <w:rPr>
                <w:rFonts w:ascii="Times New Roman" w:hAnsi="Times New Roman" w:cs="Times New Roman"/>
                <w:sz w:val="24"/>
                <w:szCs w:val="24"/>
              </w:rPr>
              <w:t>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855"/>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 xml:space="preserve">електронен път чрез </w:t>
            </w:r>
            <w:proofErr w:type="spellStart"/>
            <w:r w:rsidRPr="002A4893">
              <w:rPr>
                <w:rFonts w:ascii="Times New Roman" w:hAnsi="Times New Roman" w:cs="Times New Roman"/>
                <w:sz w:val="24"/>
                <w:szCs w:val="24"/>
              </w:rPr>
              <w:t>ИСУН</w:t>
            </w:r>
            <w:proofErr w:type="spellEnd"/>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855"/>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855"/>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 xml:space="preserve">Изпълнителният директор на </w:t>
            </w:r>
            <w:proofErr w:type="spellStart"/>
            <w:r w:rsidR="00B90361" w:rsidRPr="002A4893">
              <w:rPr>
                <w:color w:val="000000" w:themeColor="text1"/>
              </w:rPr>
              <w:t>ДФЗ</w:t>
            </w:r>
            <w:proofErr w:type="spellEnd"/>
            <w:r w:rsidR="00B90361" w:rsidRPr="002A4893">
              <w:rPr>
                <w:color w:val="000000" w:themeColor="text1"/>
              </w:rPr>
              <w:t xml:space="preserve"> - </w:t>
            </w:r>
            <w:proofErr w:type="spellStart"/>
            <w:r w:rsidR="00B90361" w:rsidRPr="002A4893">
              <w:rPr>
                <w:color w:val="000000" w:themeColor="text1"/>
              </w:rPr>
              <w:t>РА</w:t>
            </w:r>
            <w:proofErr w:type="spellEnd"/>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Споразумение с </w:t>
            </w:r>
            <w:proofErr w:type="spellStart"/>
            <w:r w:rsidRPr="002A4893">
              <w:rPr>
                <w:rFonts w:ascii="Times New Roman" w:hAnsi="Times New Roman" w:cs="Times New Roman"/>
                <w:color w:val="000000" w:themeColor="text1"/>
              </w:rPr>
              <w:t>НАП</w:t>
            </w:r>
            <w:proofErr w:type="spellEnd"/>
            <w:r w:rsidRPr="002A4893">
              <w:rPr>
                <w:rFonts w:ascii="Times New Roman" w:hAnsi="Times New Roman" w:cs="Times New Roman"/>
                <w:color w:val="000000" w:themeColor="text1"/>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proofErr w:type="spellStart"/>
            <w:r w:rsidR="00B90361" w:rsidRPr="002A4893">
              <w:rPr>
                <w:rFonts w:ascii="Times New Roman" w:hAnsi="Times New Roman" w:cs="Times New Roman"/>
                <w:b/>
                <w:color w:val="000000" w:themeColor="text1"/>
              </w:rPr>
              <w:t>ДФЗ</w:t>
            </w:r>
            <w:proofErr w:type="spellEnd"/>
            <w:r w:rsidR="00B90361" w:rsidRPr="002A4893">
              <w:rPr>
                <w:rFonts w:ascii="Times New Roman" w:hAnsi="Times New Roman" w:cs="Times New Roman"/>
                <w:b/>
                <w:color w:val="000000" w:themeColor="text1"/>
              </w:rPr>
              <w:t xml:space="preserve"> - </w:t>
            </w:r>
            <w:proofErr w:type="spellStart"/>
            <w:r w:rsidR="00B90361" w:rsidRPr="002A4893">
              <w:rPr>
                <w:rFonts w:ascii="Times New Roman" w:hAnsi="Times New Roman" w:cs="Times New Roman"/>
                <w:b/>
                <w:color w:val="000000" w:themeColor="text1"/>
              </w:rPr>
              <w:t>РА</w:t>
            </w:r>
            <w:proofErr w:type="spellEnd"/>
            <w:r w:rsidR="00B90361" w:rsidRPr="002A4893">
              <w:rPr>
                <w:rFonts w:ascii="Times New Roman" w:hAnsi="Times New Roman" w:cs="Times New Roman"/>
                <w:b/>
                <w:color w:val="000000" w:themeColor="text1"/>
              </w:rPr>
              <w:t xml:space="preserve"> </w:t>
            </w:r>
            <w:r w:rsidRPr="002A4893">
              <w:rPr>
                <w:rFonts w:ascii="Times New Roman" w:hAnsi="Times New Roman" w:cs="Times New Roman"/>
                <w:b/>
                <w:color w:val="000000" w:themeColor="text1"/>
              </w:rPr>
              <w:t xml:space="preserve">е установено наличие на задължения към </w:t>
            </w:r>
            <w:proofErr w:type="spellStart"/>
            <w:r w:rsidRPr="002A4893">
              <w:rPr>
                <w:rFonts w:ascii="Times New Roman" w:hAnsi="Times New Roman" w:cs="Times New Roman"/>
                <w:b/>
                <w:color w:val="000000" w:themeColor="text1"/>
              </w:rPr>
              <w:t>НАП</w:t>
            </w:r>
            <w:proofErr w:type="spellEnd"/>
            <w:r w:rsidRPr="002A4893">
              <w:rPr>
                <w:rFonts w:ascii="Times New Roman" w:hAnsi="Times New Roman" w:cs="Times New Roman"/>
                <w:b/>
                <w:color w:val="000000" w:themeColor="text1"/>
              </w:rPr>
              <w:t xml:space="preserve">. Проверката за наличие на задължения към </w:t>
            </w:r>
            <w:proofErr w:type="spellStart"/>
            <w:r w:rsidRPr="002A4893">
              <w:rPr>
                <w:rFonts w:ascii="Times New Roman" w:hAnsi="Times New Roman" w:cs="Times New Roman"/>
                <w:b/>
                <w:color w:val="000000" w:themeColor="text1"/>
              </w:rPr>
              <w:t>НАП</w:t>
            </w:r>
            <w:proofErr w:type="spellEnd"/>
            <w:r w:rsidRPr="002A4893">
              <w:rPr>
                <w:rFonts w:ascii="Times New Roman" w:hAnsi="Times New Roman" w:cs="Times New Roman"/>
                <w:b/>
                <w:color w:val="000000" w:themeColor="text1"/>
              </w:rPr>
              <w:t xml:space="preserve"> включва проверка за наличие на публични задължения по смисъла на чл. 162, ал. 2, т. 1 и т. 8 от </w:t>
            </w:r>
            <w:proofErr w:type="spellStart"/>
            <w:r w:rsidRPr="002A4893">
              <w:rPr>
                <w:rFonts w:ascii="Times New Roman" w:hAnsi="Times New Roman" w:cs="Times New Roman"/>
                <w:b/>
                <w:color w:val="000000" w:themeColor="text1"/>
              </w:rPr>
              <w:t>ДОПК</w:t>
            </w:r>
            <w:proofErr w:type="spellEnd"/>
            <w:r w:rsidRPr="002A4893">
              <w:rPr>
                <w:rFonts w:ascii="Times New Roman" w:hAnsi="Times New Roman" w:cs="Times New Roman"/>
                <w:b/>
                <w:color w:val="000000" w:themeColor="text1"/>
              </w:rPr>
              <w:t xml:space="preserve">.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w:t>
            </w:r>
            <w:proofErr w:type="spellStart"/>
            <w:r w:rsidR="00B90361" w:rsidRPr="0060217B">
              <w:rPr>
                <w:rFonts w:ascii="Times New Roman" w:hAnsi="Times New Roman" w:cs="Times New Roman"/>
                <w:b/>
              </w:rPr>
              <w:t>ДОПК</w:t>
            </w:r>
            <w:proofErr w:type="spellEnd"/>
            <w:r w:rsidR="00B90361" w:rsidRPr="0060217B">
              <w:rPr>
                <w:rFonts w:ascii="Times New Roman" w:hAnsi="Times New Roman" w:cs="Times New Roman"/>
                <w:b/>
              </w:rPr>
              <w:t xml:space="preserve"> </w:t>
            </w:r>
            <w:proofErr w:type="spellStart"/>
            <w:r w:rsidR="00B90361" w:rsidRPr="002A4893">
              <w:rPr>
                <w:rFonts w:ascii="Times New Roman" w:hAnsi="Times New Roman" w:cs="Times New Roman"/>
                <w:b/>
                <w:color w:val="000000" w:themeColor="text1"/>
              </w:rPr>
              <w:t>ДФЗ</w:t>
            </w:r>
            <w:proofErr w:type="spellEnd"/>
            <w:r w:rsidR="00B90361" w:rsidRPr="002A4893">
              <w:rPr>
                <w:rFonts w:ascii="Times New Roman" w:hAnsi="Times New Roman" w:cs="Times New Roman"/>
                <w:b/>
                <w:color w:val="000000" w:themeColor="text1"/>
              </w:rPr>
              <w:t xml:space="preserve"> - </w:t>
            </w:r>
            <w:proofErr w:type="spellStart"/>
            <w:r w:rsidR="00B90361" w:rsidRPr="002A4893">
              <w:rPr>
                <w:rFonts w:ascii="Times New Roman" w:hAnsi="Times New Roman" w:cs="Times New Roman"/>
                <w:b/>
                <w:color w:val="000000" w:themeColor="text1"/>
              </w:rPr>
              <w:t>РА</w:t>
            </w:r>
            <w:proofErr w:type="spellEnd"/>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w:t>
            </w:r>
            <w:proofErr w:type="spellStart"/>
            <w:r w:rsidR="00D737C2" w:rsidRPr="002A4893">
              <w:rPr>
                <w:rFonts w:ascii="Times New Roman" w:hAnsi="Times New Roman" w:cs="Times New Roman"/>
                <w:sz w:val="24"/>
                <w:szCs w:val="24"/>
              </w:rPr>
              <w:t>УО</w:t>
            </w:r>
            <w:proofErr w:type="spellEnd"/>
            <w:r w:rsidR="00D737C2" w:rsidRPr="002A4893">
              <w:rPr>
                <w:rFonts w:ascii="Times New Roman" w:hAnsi="Times New Roman" w:cs="Times New Roman"/>
                <w:sz w:val="24"/>
                <w:szCs w:val="24"/>
              </w:rPr>
              <w:t xml:space="preserve">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w:t>
            </w:r>
            <w:r w:rsidRPr="002A4893">
              <w:rPr>
                <w:rFonts w:ascii="Times New Roman" w:hAnsi="Times New Roman" w:cs="Times New Roman"/>
                <w:color w:val="000000" w:themeColor="text1"/>
                <w:sz w:val="24"/>
                <w:szCs w:val="24"/>
              </w:rPr>
              <w:lastRenderedPageBreak/>
              <w:t>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proofErr w:type="spellStart"/>
            <w:r w:rsidR="007C31EC"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A4893">
              <w:rPr>
                <w:rFonts w:ascii="Times New Roman" w:hAnsi="Times New Roman" w:cs="Times New Roman"/>
                <w:color w:val="000000" w:themeColor="text1"/>
                <w:sz w:val="24"/>
                <w:szCs w:val="24"/>
              </w:rPr>
              <w:t>ите</w:t>
            </w:r>
            <w:proofErr w:type="spellEnd"/>
            <w:r w:rsidRPr="002A4893">
              <w:rPr>
                <w:rFonts w:ascii="Times New Roman" w:hAnsi="Times New Roman" w:cs="Times New Roman"/>
                <w:color w:val="000000" w:themeColor="text1"/>
                <w:sz w:val="24"/>
                <w:szCs w:val="24"/>
              </w:rPr>
              <w:t xml:space="preserve"> представител/и на кандидата съгласно </w:t>
            </w:r>
            <w:r w:rsidR="00D737C2" w:rsidRPr="002A4893">
              <w:rPr>
                <w:rFonts w:ascii="Times New Roman" w:hAnsi="Times New Roman" w:cs="Times New Roman"/>
                <w:color w:val="000000" w:themeColor="text1"/>
                <w:sz w:val="24"/>
                <w:szCs w:val="24"/>
              </w:rPr>
              <w:t xml:space="preserve">вписванията в Търговски регистър и регистър на </w:t>
            </w:r>
            <w:proofErr w:type="spellStart"/>
            <w:r w:rsidR="00D737C2" w:rsidRPr="002A4893">
              <w:rPr>
                <w:rFonts w:ascii="Times New Roman" w:hAnsi="Times New Roman" w:cs="Times New Roman"/>
                <w:color w:val="000000" w:themeColor="text1"/>
                <w:sz w:val="24"/>
                <w:szCs w:val="24"/>
              </w:rPr>
              <w:t>ЮЛНЦ</w:t>
            </w:r>
            <w:proofErr w:type="spellEnd"/>
            <w:r w:rsidR="00D737C2" w:rsidRPr="002A4893">
              <w:rPr>
                <w:rFonts w:ascii="Times New Roman" w:hAnsi="Times New Roman" w:cs="Times New Roman"/>
                <w:color w:val="000000" w:themeColor="text1"/>
                <w:sz w:val="24"/>
                <w:szCs w:val="24"/>
              </w:rPr>
              <w:t xml:space="preserve">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w:t>
            </w:r>
            <w:proofErr w:type="spellStart"/>
            <w:r w:rsidRPr="002A4893">
              <w:rPr>
                <w:rFonts w:ascii="Times New Roman" w:hAnsi="Times New Roman" w:cs="Times New Roman"/>
                <w:color w:val="000000" w:themeColor="text1"/>
                <w:sz w:val="24"/>
                <w:szCs w:val="24"/>
              </w:rPr>
              <w:t>ИСУН</w:t>
            </w:r>
            <w:proofErr w:type="spellEnd"/>
            <w:r w:rsidRPr="002A4893">
              <w:rPr>
                <w:rFonts w:ascii="Times New Roman" w:hAnsi="Times New Roman" w:cs="Times New Roman"/>
                <w:color w:val="000000" w:themeColor="text1"/>
                <w:sz w:val="24"/>
                <w:szCs w:val="24"/>
              </w:rPr>
              <w:t xml:space="preserve">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w:t>
            </w:r>
            <w:proofErr w:type="spellStart"/>
            <w:r w:rsidRPr="002A4893">
              <w:rPr>
                <w:rFonts w:ascii="Times New Roman" w:hAnsi="Times New Roman" w:cs="Times New Roman"/>
                <w:color w:val="000000" w:themeColor="text1"/>
                <w:sz w:val="24"/>
                <w:szCs w:val="24"/>
              </w:rPr>
              <w:t>ИСУН</w:t>
            </w:r>
            <w:proofErr w:type="spellEnd"/>
            <w:r w:rsidRPr="002A4893">
              <w:rPr>
                <w:rFonts w:ascii="Times New Roman" w:hAnsi="Times New Roman" w:cs="Times New Roman"/>
                <w:color w:val="000000" w:themeColor="text1"/>
                <w:sz w:val="24"/>
                <w:szCs w:val="24"/>
              </w:rPr>
              <w:t xml:space="preserve">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Pr="002A4893">
              <w:rPr>
                <w:rFonts w:ascii="Times New Roman" w:hAnsi="Times New Roman" w:cs="Times New Roman"/>
                <w:color w:val="000000" w:themeColor="text1"/>
                <w:sz w:val="24"/>
                <w:szCs w:val="24"/>
              </w:rPr>
              <w:t>pdf</w:t>
            </w:r>
            <w:proofErr w:type="spellEnd"/>
            <w:r w:rsidRPr="002A4893">
              <w:rPr>
                <w:rFonts w:ascii="Times New Roman" w:hAnsi="Times New Roman" w:cs="Times New Roman"/>
                <w:color w:val="000000" w:themeColor="text1"/>
                <w:sz w:val="24"/>
                <w:szCs w:val="24"/>
              </w:rPr>
              <w:t>“ или „</w:t>
            </w:r>
            <w:proofErr w:type="spellStart"/>
            <w:r w:rsidRPr="002A4893">
              <w:rPr>
                <w:rFonts w:ascii="Times New Roman" w:hAnsi="Times New Roman" w:cs="Times New Roman"/>
                <w:color w:val="000000" w:themeColor="text1"/>
                <w:sz w:val="24"/>
                <w:szCs w:val="24"/>
              </w:rPr>
              <w:t>jpg</w:t>
            </w:r>
            <w:proofErr w:type="spellEnd"/>
            <w:r w:rsidRPr="002A4893">
              <w:rPr>
                <w:rFonts w:ascii="Times New Roman" w:hAnsi="Times New Roman" w:cs="Times New Roman"/>
                <w:color w:val="000000" w:themeColor="text1"/>
                <w:sz w:val="24"/>
                <w:szCs w:val="24"/>
              </w:rPr>
              <w:t xml:space="preserve">“.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proofErr w:type="spellStart"/>
            <w:r w:rsidR="007C31EC"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 xml:space="preserve">датата на изпращането чрез </w:t>
            </w:r>
            <w:proofErr w:type="spellStart"/>
            <w:r w:rsidR="006B72B0" w:rsidRPr="002A4893">
              <w:rPr>
                <w:rFonts w:ascii="Times New Roman" w:eastAsia="Times New Roman" w:hAnsi="Times New Roman" w:cs="Times New Roman"/>
                <w:sz w:val="24"/>
                <w:szCs w:val="24"/>
                <w:shd w:val="clear" w:color="auto" w:fill="FEFEFE"/>
              </w:rPr>
              <w:t>ИСУН</w:t>
            </w:r>
            <w:proofErr w:type="spellEnd"/>
            <w:r w:rsidR="006B72B0" w:rsidRPr="002A4893">
              <w:rPr>
                <w:rFonts w:ascii="Times New Roman" w:eastAsia="Times New Roman" w:hAnsi="Times New Roman" w:cs="Times New Roman"/>
                <w:sz w:val="24"/>
                <w:szCs w:val="24"/>
                <w:shd w:val="clear" w:color="auto" w:fill="FEFEFE"/>
              </w:rPr>
              <w:t xml:space="preserve">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proofErr w:type="spellStart"/>
            <w:r w:rsidR="00B90361" w:rsidRPr="002A4893">
              <w:rPr>
                <w:rFonts w:ascii="Times New Roman" w:hAnsi="Times New Roman" w:cs="Times New Roman"/>
                <w:color w:val="000000" w:themeColor="text1"/>
                <w:sz w:val="24"/>
                <w:szCs w:val="24"/>
              </w:rPr>
              <w:t>ДФЗ</w:t>
            </w:r>
            <w:proofErr w:type="spellEnd"/>
            <w:r w:rsidR="00B90361" w:rsidRPr="002A4893">
              <w:rPr>
                <w:rFonts w:ascii="Times New Roman" w:hAnsi="Times New Roman" w:cs="Times New Roman"/>
                <w:color w:val="000000" w:themeColor="text1"/>
                <w:sz w:val="24"/>
                <w:szCs w:val="24"/>
              </w:rPr>
              <w:t xml:space="preserve"> - </w:t>
            </w:r>
            <w:proofErr w:type="spellStart"/>
            <w:r w:rsidR="00B90361" w:rsidRPr="002A4893">
              <w:rPr>
                <w:rFonts w:ascii="Times New Roman" w:hAnsi="Times New Roman" w:cs="Times New Roman"/>
                <w:color w:val="000000" w:themeColor="text1"/>
                <w:sz w:val="24"/>
                <w:szCs w:val="24"/>
              </w:rPr>
              <w:t>РА</w:t>
            </w:r>
            <w:proofErr w:type="spellEnd"/>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w:t>
            </w:r>
            <w:proofErr w:type="spellStart"/>
            <w:r w:rsidRPr="002A4893">
              <w:rPr>
                <w:rFonts w:ascii="Times New Roman" w:hAnsi="Times New Roman" w:cs="Times New Roman"/>
                <w:color w:val="000000" w:themeColor="text1"/>
                <w:sz w:val="24"/>
                <w:szCs w:val="24"/>
              </w:rPr>
              <w:t>касаещо</w:t>
            </w:r>
            <w:proofErr w:type="spellEnd"/>
            <w:r w:rsidRPr="002A4893">
              <w:rPr>
                <w:rFonts w:ascii="Times New Roman" w:hAnsi="Times New Roman" w:cs="Times New Roman"/>
                <w:color w:val="000000" w:themeColor="text1"/>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proofErr w:type="spellStart"/>
            <w:r w:rsidR="007C31EC"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се </w:t>
            </w:r>
            <w:r w:rsidRPr="002A4893">
              <w:rPr>
                <w:rFonts w:ascii="Times New Roman" w:hAnsi="Times New Roman" w:cs="Times New Roman"/>
                <w:color w:val="000000" w:themeColor="text1"/>
                <w:sz w:val="24"/>
                <w:szCs w:val="24"/>
              </w:rPr>
              <w:lastRenderedPageBreak/>
              <w:t xml:space="preserve">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2A4893">
              <w:rPr>
                <w:rFonts w:ascii="Times New Roman" w:hAnsi="Times New Roman" w:cs="Times New Roman"/>
                <w:color w:val="000000" w:themeColor="text1"/>
                <w:sz w:val="24"/>
                <w:szCs w:val="24"/>
              </w:rPr>
              <w:t>поредността</w:t>
            </w:r>
            <w:proofErr w:type="spellEnd"/>
            <w:r w:rsidRPr="002A4893">
              <w:rPr>
                <w:rFonts w:ascii="Times New Roman" w:hAnsi="Times New Roman" w:cs="Times New Roman"/>
                <w:color w:val="000000" w:themeColor="text1"/>
                <w:sz w:val="24"/>
                <w:szCs w:val="24"/>
              </w:rPr>
              <w:t xml:space="preserve">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се пристъпва към сключване на такъв договор с кандидатите от резервния списък (в случай че такъв е съставен) по </w:t>
            </w:r>
            <w:proofErr w:type="spellStart"/>
            <w:r w:rsidRPr="002A4893">
              <w:rPr>
                <w:rFonts w:ascii="Times New Roman" w:hAnsi="Times New Roman" w:cs="Times New Roman"/>
                <w:color w:val="000000" w:themeColor="text1"/>
                <w:sz w:val="24"/>
                <w:szCs w:val="24"/>
              </w:rPr>
              <w:t>поредността</w:t>
            </w:r>
            <w:proofErr w:type="spellEnd"/>
            <w:r w:rsidRPr="002A4893">
              <w:rPr>
                <w:rFonts w:ascii="Times New Roman" w:hAnsi="Times New Roman" w:cs="Times New Roman"/>
                <w:color w:val="000000" w:themeColor="text1"/>
                <w:sz w:val="24"/>
                <w:szCs w:val="24"/>
              </w:rPr>
              <w:t xml:space="preserve">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 xml:space="preserve">Изпълнителният директор на </w:t>
            </w:r>
            <w:proofErr w:type="spellStart"/>
            <w:r w:rsidR="00B90361" w:rsidRPr="002A4893">
              <w:rPr>
                <w:rFonts w:ascii="Times New Roman" w:hAnsi="Times New Roman" w:cs="Times New Roman"/>
                <w:color w:val="000000" w:themeColor="text1"/>
                <w:sz w:val="24"/>
                <w:szCs w:val="24"/>
              </w:rPr>
              <w:t>ДФЗ</w:t>
            </w:r>
            <w:proofErr w:type="spellEnd"/>
            <w:r w:rsidR="00B90361" w:rsidRPr="002A4893">
              <w:rPr>
                <w:rFonts w:ascii="Times New Roman" w:hAnsi="Times New Roman" w:cs="Times New Roman"/>
                <w:color w:val="000000" w:themeColor="text1"/>
                <w:sz w:val="24"/>
                <w:szCs w:val="24"/>
              </w:rPr>
              <w:t xml:space="preserve"> - </w:t>
            </w:r>
            <w:proofErr w:type="spellStart"/>
            <w:r w:rsidR="00B90361" w:rsidRPr="002A4893">
              <w:rPr>
                <w:rFonts w:ascii="Times New Roman" w:hAnsi="Times New Roman" w:cs="Times New Roman"/>
                <w:color w:val="000000" w:themeColor="text1"/>
                <w:sz w:val="24"/>
                <w:szCs w:val="24"/>
              </w:rPr>
              <w:t>РА</w:t>
            </w:r>
            <w:proofErr w:type="spellEnd"/>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proofErr w:type="spellStart"/>
            <w:r w:rsidR="00EB5533" w:rsidRPr="002A4893">
              <w:rPr>
                <w:rFonts w:ascii="Times New Roman" w:hAnsi="Times New Roman" w:cs="Times New Roman"/>
                <w:sz w:val="24"/>
                <w:szCs w:val="24"/>
              </w:rPr>
              <w:t>БФП</w:t>
            </w:r>
            <w:proofErr w:type="spellEnd"/>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r w:rsidRPr="002A4893">
              <w:rPr>
                <w:rFonts w:ascii="Times New Roman" w:hAnsi="Times New Roman" w:cs="Times New Roman"/>
                <w:color w:val="000000" w:themeColor="text1"/>
                <w:sz w:val="24"/>
                <w:szCs w:val="24"/>
              </w:rPr>
              <w:t xml:space="preserve">в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proofErr w:type="spellStart"/>
            <w:r w:rsidR="00EB5533" w:rsidRPr="002A4893">
              <w:rPr>
                <w:rFonts w:ascii="Times New Roman" w:hAnsi="Times New Roman" w:cs="Times New Roman"/>
                <w:sz w:val="24"/>
                <w:szCs w:val="24"/>
              </w:rPr>
              <w:t>БФП</w:t>
            </w:r>
            <w:proofErr w:type="spellEnd"/>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w:t>
            </w:r>
            <w:proofErr w:type="spellStart"/>
            <w:r w:rsidRPr="002A4893">
              <w:rPr>
                <w:rFonts w:ascii="Times New Roman" w:hAnsi="Times New Roman" w:cs="Times New Roman"/>
                <w:color w:val="000000" w:themeColor="text1"/>
                <w:sz w:val="24"/>
                <w:szCs w:val="24"/>
              </w:rPr>
              <w:t>ИСУН</w:t>
            </w:r>
            <w:proofErr w:type="spellEnd"/>
            <w:r w:rsidRPr="002A4893">
              <w:rPr>
                <w:rFonts w:ascii="Times New Roman" w:hAnsi="Times New Roman" w:cs="Times New Roman"/>
                <w:color w:val="000000" w:themeColor="text1"/>
                <w:sz w:val="24"/>
                <w:szCs w:val="24"/>
              </w:rPr>
              <w:t xml:space="preserve"> 2020. </w:t>
            </w:r>
            <w:proofErr w:type="spellStart"/>
            <w:r w:rsidR="00B90361" w:rsidRPr="002A4893">
              <w:rPr>
                <w:rFonts w:ascii="Times New Roman" w:hAnsi="Times New Roman" w:cs="Times New Roman"/>
                <w:color w:val="000000" w:themeColor="text1"/>
                <w:sz w:val="24"/>
                <w:szCs w:val="24"/>
              </w:rPr>
              <w:t>ДФЗ</w:t>
            </w:r>
            <w:proofErr w:type="spellEnd"/>
            <w:r w:rsidR="00B90361" w:rsidRPr="002A4893">
              <w:rPr>
                <w:rFonts w:ascii="Times New Roman" w:hAnsi="Times New Roman" w:cs="Times New Roman"/>
                <w:color w:val="000000" w:themeColor="text1"/>
                <w:sz w:val="24"/>
                <w:szCs w:val="24"/>
              </w:rPr>
              <w:t xml:space="preserve"> - </w:t>
            </w:r>
            <w:proofErr w:type="spellStart"/>
            <w:r w:rsidR="00B90361" w:rsidRPr="002A4893">
              <w:rPr>
                <w:rFonts w:ascii="Times New Roman" w:hAnsi="Times New Roman" w:cs="Times New Roman"/>
                <w:color w:val="000000" w:themeColor="text1"/>
                <w:sz w:val="24"/>
                <w:szCs w:val="24"/>
              </w:rPr>
              <w:t>РА</w:t>
            </w:r>
            <w:proofErr w:type="spellEnd"/>
            <w:r w:rsidR="00B90361"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proofErr w:type="spellStart"/>
            <w:r w:rsidR="00B90361" w:rsidRPr="002A4893">
              <w:rPr>
                <w:rFonts w:ascii="Times New Roman" w:hAnsi="Times New Roman" w:cs="Times New Roman"/>
                <w:color w:val="000000" w:themeColor="text1"/>
                <w:sz w:val="24"/>
                <w:szCs w:val="24"/>
              </w:rPr>
              <w:t>ДФЗ</w:t>
            </w:r>
            <w:proofErr w:type="spellEnd"/>
            <w:r w:rsidR="00B90361" w:rsidRPr="002A4893">
              <w:rPr>
                <w:rFonts w:ascii="Times New Roman" w:hAnsi="Times New Roman" w:cs="Times New Roman"/>
                <w:color w:val="000000" w:themeColor="text1"/>
                <w:sz w:val="24"/>
                <w:szCs w:val="24"/>
              </w:rPr>
              <w:t xml:space="preserve"> - </w:t>
            </w:r>
            <w:proofErr w:type="spellStart"/>
            <w:r w:rsidR="00B90361" w:rsidRPr="002A4893">
              <w:rPr>
                <w:rFonts w:ascii="Times New Roman" w:hAnsi="Times New Roman" w:cs="Times New Roman"/>
                <w:color w:val="000000" w:themeColor="text1"/>
                <w:sz w:val="24"/>
                <w:szCs w:val="24"/>
              </w:rPr>
              <w:t>РА</w:t>
            </w:r>
            <w:proofErr w:type="spellEnd"/>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w:t>
            </w:r>
            <w:proofErr w:type="spellStart"/>
            <w:r w:rsidR="00B90361" w:rsidRPr="002A4893">
              <w:rPr>
                <w:rFonts w:ascii="Times New Roman" w:hAnsi="Times New Roman" w:cs="Times New Roman"/>
                <w:color w:val="000000" w:themeColor="text1"/>
                <w:sz w:val="24"/>
                <w:szCs w:val="24"/>
              </w:rPr>
              <w:t>ДФЗ</w:t>
            </w:r>
            <w:proofErr w:type="spellEnd"/>
            <w:r w:rsidR="00B90361" w:rsidRPr="002A4893">
              <w:rPr>
                <w:rFonts w:ascii="Times New Roman" w:hAnsi="Times New Roman" w:cs="Times New Roman"/>
                <w:color w:val="000000" w:themeColor="text1"/>
                <w:sz w:val="24"/>
                <w:szCs w:val="24"/>
              </w:rPr>
              <w:t xml:space="preserve"> – </w:t>
            </w:r>
            <w:proofErr w:type="spellStart"/>
            <w:r w:rsidR="00B90361" w:rsidRPr="002A4893">
              <w:rPr>
                <w:rFonts w:ascii="Times New Roman" w:hAnsi="Times New Roman" w:cs="Times New Roman"/>
                <w:color w:val="000000" w:themeColor="text1"/>
                <w:sz w:val="24"/>
                <w:szCs w:val="24"/>
              </w:rPr>
              <w:t>РА</w:t>
            </w:r>
            <w:proofErr w:type="spellEnd"/>
            <w:r w:rsidR="00B90361" w:rsidRPr="002A4893">
              <w:rPr>
                <w:rFonts w:ascii="Times New Roman" w:hAnsi="Times New Roman" w:cs="Times New Roman"/>
                <w:color w:val="000000" w:themeColor="text1"/>
                <w:sz w:val="24"/>
                <w:szCs w:val="24"/>
              </w:rPr>
              <w:t xml:space="preserve"> и/или </w:t>
            </w:r>
            <w:r w:rsidRPr="002A4893">
              <w:rPr>
                <w:rFonts w:ascii="Times New Roman" w:hAnsi="Times New Roman" w:cs="Times New Roman"/>
                <w:color w:val="000000" w:themeColor="text1"/>
                <w:sz w:val="24"/>
                <w:szCs w:val="24"/>
              </w:rPr>
              <w:t xml:space="preserve">ръководителя на </w:t>
            </w:r>
            <w:proofErr w:type="spellStart"/>
            <w:r w:rsidRPr="002A4893">
              <w:rPr>
                <w:rFonts w:ascii="Times New Roman" w:hAnsi="Times New Roman" w:cs="Times New Roman"/>
                <w:color w:val="000000" w:themeColor="text1"/>
                <w:sz w:val="24"/>
                <w:szCs w:val="24"/>
              </w:rPr>
              <w:t>УО</w:t>
            </w:r>
            <w:proofErr w:type="spellEnd"/>
            <w:r w:rsidRPr="002A4893">
              <w:rPr>
                <w:rFonts w:ascii="Times New Roman" w:hAnsi="Times New Roman" w:cs="Times New Roman"/>
                <w:color w:val="000000" w:themeColor="text1"/>
                <w:sz w:val="24"/>
                <w:szCs w:val="24"/>
              </w:rPr>
              <w:t xml:space="preserve"> сигнал за предоставяне на невярна и/или подвеждаща информация от кандидати в процедури по предоставяне на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по </w:t>
            </w:r>
            <w:proofErr w:type="spellStart"/>
            <w:r w:rsidRPr="002A4893">
              <w:rPr>
                <w:rFonts w:ascii="Times New Roman" w:hAnsi="Times New Roman" w:cs="Times New Roman"/>
                <w:color w:val="000000" w:themeColor="text1"/>
                <w:sz w:val="24"/>
                <w:szCs w:val="24"/>
              </w:rPr>
              <w:t>ПРСР</w:t>
            </w:r>
            <w:proofErr w:type="spellEnd"/>
            <w:r w:rsidRPr="002A4893">
              <w:rPr>
                <w:rFonts w:ascii="Times New Roman" w:hAnsi="Times New Roman" w:cs="Times New Roman"/>
                <w:color w:val="000000" w:themeColor="text1"/>
                <w:sz w:val="24"/>
                <w:szCs w:val="24"/>
              </w:rPr>
              <w:t xml:space="preserve"> и/или от бенефициентите на </w:t>
            </w:r>
            <w:proofErr w:type="spellStart"/>
            <w:r w:rsidR="00EB5533" w:rsidRPr="002A4893">
              <w:rPr>
                <w:rFonts w:ascii="Times New Roman" w:hAnsi="Times New Roman" w:cs="Times New Roman"/>
                <w:sz w:val="24"/>
                <w:szCs w:val="24"/>
              </w:rPr>
              <w:t>БФП</w:t>
            </w:r>
            <w:proofErr w:type="spellEnd"/>
            <w:r w:rsidRPr="002A4893">
              <w:rPr>
                <w:rFonts w:ascii="Times New Roman" w:hAnsi="Times New Roman" w:cs="Times New Roman"/>
                <w:color w:val="000000" w:themeColor="text1"/>
                <w:sz w:val="24"/>
                <w:szCs w:val="24"/>
              </w:rPr>
              <w:t xml:space="preserve"> по </w:t>
            </w:r>
            <w:proofErr w:type="spellStart"/>
            <w:r w:rsidRPr="002A4893">
              <w:rPr>
                <w:rFonts w:ascii="Times New Roman" w:hAnsi="Times New Roman" w:cs="Times New Roman"/>
                <w:color w:val="000000" w:themeColor="text1"/>
                <w:sz w:val="24"/>
                <w:szCs w:val="24"/>
              </w:rPr>
              <w:t>ПРСР</w:t>
            </w:r>
            <w:proofErr w:type="spellEnd"/>
            <w:r w:rsidRPr="002A4893">
              <w:rPr>
                <w:rFonts w:ascii="Times New Roman" w:hAnsi="Times New Roman" w:cs="Times New Roman"/>
                <w:color w:val="000000" w:themeColor="text1"/>
                <w:sz w:val="24"/>
                <w:szCs w:val="24"/>
              </w:rPr>
              <w:t>,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w:t>
            </w:r>
            <w:proofErr w:type="spellStart"/>
            <w:r w:rsidRPr="002A4893">
              <w:rPr>
                <w:rFonts w:ascii="Times New Roman" w:hAnsi="Times New Roman" w:cs="Times New Roman"/>
                <w:color w:val="000000" w:themeColor="text1"/>
                <w:sz w:val="24"/>
                <w:szCs w:val="24"/>
              </w:rPr>
              <w:t>ЕЗФРСР</w:t>
            </w:r>
            <w:proofErr w:type="spellEnd"/>
            <w:r w:rsidRPr="002A4893">
              <w:rPr>
                <w:rFonts w:ascii="Times New Roman" w:hAnsi="Times New Roman" w:cs="Times New Roman"/>
                <w:color w:val="000000" w:themeColor="text1"/>
                <w:sz w:val="24"/>
                <w:szCs w:val="24"/>
              </w:rPr>
              <w:t>,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855"/>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 Таблица за изчисляване на </w:t>
            </w:r>
            <w:proofErr w:type="spellStart"/>
            <w:r w:rsidR="00107B17" w:rsidRPr="00F25C31">
              <w:rPr>
                <w:rFonts w:ascii="Times New Roman" w:hAnsi="Times New Roman" w:cs="Times New Roman"/>
                <w:sz w:val="24"/>
              </w:rPr>
              <w:t>СПО</w:t>
            </w:r>
            <w:proofErr w:type="spellEnd"/>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xml:space="preserve">- Контролен лист </w:t>
            </w:r>
            <w:proofErr w:type="spellStart"/>
            <w:r w:rsidR="00107B17" w:rsidRPr="00F25C31">
              <w:rPr>
                <w:rFonts w:ascii="Times New Roman" w:hAnsi="Times New Roman" w:cs="Times New Roman"/>
                <w:sz w:val="24"/>
              </w:rPr>
              <w:t>ОАСД</w:t>
            </w:r>
            <w:proofErr w:type="spellEnd"/>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xml:space="preserve">- Контролен лист </w:t>
            </w:r>
            <w:proofErr w:type="spellStart"/>
            <w:r w:rsidR="00107B17" w:rsidRPr="00F25C31">
              <w:rPr>
                <w:rFonts w:ascii="Times New Roman" w:hAnsi="Times New Roman" w:cs="Times New Roman"/>
                <w:sz w:val="24"/>
              </w:rPr>
              <w:t>TФО</w:t>
            </w:r>
            <w:proofErr w:type="spellEnd"/>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 xml:space="preserve">Инструкция за попълване на електронен </w:t>
            </w:r>
            <w:proofErr w:type="spellStart"/>
            <w:r w:rsidR="00555FF5" w:rsidRPr="00F25C31">
              <w:rPr>
                <w:rFonts w:ascii="Times New Roman" w:hAnsi="Times New Roman" w:cs="Times New Roman"/>
                <w:sz w:val="24"/>
              </w:rPr>
              <w:t>фомуляр</w:t>
            </w:r>
            <w:proofErr w:type="spellEnd"/>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44E3A" w14:textId="77777777" w:rsidR="007C72CA" w:rsidRDefault="007C72CA">
      <w:pPr>
        <w:spacing w:after="0" w:line="240" w:lineRule="auto"/>
      </w:pPr>
      <w:r>
        <w:separator/>
      </w:r>
    </w:p>
  </w:endnote>
  <w:endnote w:type="continuationSeparator" w:id="0">
    <w:p w14:paraId="06A2CA79" w14:textId="77777777" w:rsidR="007C72CA" w:rsidRDefault="007C72CA">
      <w:pPr>
        <w:spacing w:after="0" w:line="240" w:lineRule="auto"/>
      </w:pPr>
      <w:r>
        <w:continuationSeparator/>
      </w:r>
    </w:p>
  </w:endnote>
  <w:endnote w:type="continuationNotice" w:id="1">
    <w:p w14:paraId="24D2E422" w14:textId="77777777" w:rsidR="007C72CA" w:rsidRDefault="007C7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160E19DF"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6E5208">
          <w:rPr>
            <w:rFonts w:ascii="Times New Roman" w:hAnsi="Times New Roman" w:cs="Times New Roman"/>
            <w:noProof/>
            <w:sz w:val="20"/>
            <w:szCs w:val="20"/>
          </w:rPr>
          <w:t>57</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6046A" w14:textId="77777777" w:rsidR="007C72CA" w:rsidRDefault="007C72CA">
      <w:pPr>
        <w:spacing w:after="0" w:line="240" w:lineRule="auto"/>
      </w:pPr>
      <w:r>
        <w:separator/>
      </w:r>
    </w:p>
  </w:footnote>
  <w:footnote w:type="continuationSeparator" w:id="0">
    <w:p w14:paraId="0AE23790" w14:textId="77777777" w:rsidR="007C72CA" w:rsidRDefault="007C72CA">
      <w:pPr>
        <w:spacing w:after="0" w:line="240" w:lineRule="auto"/>
      </w:pPr>
      <w:r>
        <w:continuationSeparator/>
      </w:r>
    </w:p>
  </w:footnote>
  <w:footnote w:type="continuationNotice" w:id="1">
    <w:p w14:paraId="258643DE" w14:textId="77777777" w:rsidR="007C72CA" w:rsidRDefault="007C72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49AF8" w14:textId="4CF04D9A" w:rsidR="007949D8" w:rsidRDefault="007949D8">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57245" w14:textId="4A575188" w:rsidR="007949D8" w:rsidRDefault="00794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C7"/>
    <w:rsid w:val="00000E17"/>
    <w:rsid w:val="000039DC"/>
    <w:rsid w:val="00004B94"/>
    <w:rsid w:val="000067C3"/>
    <w:rsid w:val="00006E20"/>
    <w:rsid w:val="00006F83"/>
    <w:rsid w:val="0000718F"/>
    <w:rsid w:val="00007B27"/>
    <w:rsid w:val="00015042"/>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B0902"/>
    <w:rsid w:val="005B1DBA"/>
    <w:rsid w:val="005B4DB4"/>
    <w:rsid w:val="005B52F7"/>
    <w:rsid w:val="005C21A5"/>
    <w:rsid w:val="005C21C1"/>
    <w:rsid w:val="005C6AF4"/>
    <w:rsid w:val="005D6106"/>
    <w:rsid w:val="005D7F20"/>
    <w:rsid w:val="005E085A"/>
    <w:rsid w:val="005E3DD5"/>
    <w:rsid w:val="005E49EA"/>
    <w:rsid w:val="005E5347"/>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54F9"/>
    <w:rsid w:val="006E3782"/>
    <w:rsid w:val="006E5208"/>
    <w:rsid w:val="006E6065"/>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333C"/>
    <w:rsid w:val="00BC5AFE"/>
    <w:rsid w:val="00BC5FEE"/>
    <w:rsid w:val="00BD0DC2"/>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E20"/>
    <w:rsid w:val="00F002DD"/>
    <w:rsid w:val="00F0207A"/>
    <w:rsid w:val="00F03FF4"/>
    <w:rsid w:val="00F04828"/>
    <w:rsid w:val="00F05662"/>
    <w:rsid w:val="00F05A9B"/>
    <w:rsid w:val="00F06B21"/>
    <w:rsid w:val="00F077E9"/>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pis://Base=APEV&amp;CELEX=32013R1306&amp;Type=2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mzh.government.bg/mzh/bg/Home.aspx" TargetMode="External"/><Relationship Id="rId7" Type="http://schemas.microsoft.com/office/2007/relationships/stylesWithEffects" Target="stylesWithEffects.xml"/><Relationship Id="rId12" Type="http://schemas.openxmlformats.org/officeDocument/2006/relationships/hyperlink" Target="apis://Base=APEV&amp;CELEX=32014R0809&amp;ToPar=Art48&amp;Type=2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rdd@mzh.government.b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apis://Base=NORM&amp;DocCode=4346&amp;ToPar=Art4&#1072;&amp;Type=2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fz.b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81B91-3C74-416F-9E61-3713C4FF4AFA}">
  <ds:schemaRefs>
    <ds:schemaRef ds:uri="http://schemas.openxmlformats.org/officeDocument/2006/bibliography"/>
  </ds:schemaRefs>
</ds:datastoreItem>
</file>

<file path=customXml/itemProps2.xml><?xml version="1.0" encoding="utf-8"?>
<ds:datastoreItem xmlns:ds="http://schemas.openxmlformats.org/officeDocument/2006/customXml" ds:itemID="{CB48B128-CCAC-41A3-A709-688544A33761}">
  <ds:schemaRefs>
    <ds:schemaRef ds:uri="http://schemas.openxmlformats.org/officeDocument/2006/bibliography"/>
  </ds:schemaRefs>
</ds:datastoreItem>
</file>

<file path=customXml/itemProps3.xml><?xml version="1.0" encoding="utf-8"?>
<ds:datastoreItem xmlns:ds="http://schemas.openxmlformats.org/officeDocument/2006/customXml" ds:itemID="{90AF542A-0BB3-43F6-A965-278F87F92548}">
  <ds:schemaRefs>
    <ds:schemaRef ds:uri="http://schemas.openxmlformats.org/officeDocument/2006/bibliography"/>
  </ds:schemaRefs>
</ds:datastoreItem>
</file>

<file path=customXml/itemProps4.xml><?xml version="1.0" encoding="utf-8"?>
<ds:datastoreItem xmlns:ds="http://schemas.openxmlformats.org/officeDocument/2006/customXml" ds:itemID="{AD2A430A-8AEB-4260-A19D-DCD8DA59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61</Pages>
  <Words>24892</Words>
  <Characters>141885</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МЗХГ</cp:lastModifiedBy>
  <cp:revision>7</cp:revision>
  <cp:lastPrinted>2021-03-19T09:48:00Z</cp:lastPrinted>
  <dcterms:created xsi:type="dcterms:W3CDTF">2021-06-14T14:06:00Z</dcterms:created>
  <dcterms:modified xsi:type="dcterms:W3CDTF">2021-06-22T07:11:00Z</dcterms:modified>
</cp:coreProperties>
</file>