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26C10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3B3853CA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4"/>
          <w:lang w:val="bg-BG"/>
        </w:rPr>
      </w:pPr>
    </w:p>
    <w:p w14:paraId="7AF34C23" w14:textId="77777777" w:rsidR="00524454" w:rsidRPr="00131A47" w:rsidRDefault="00524454" w:rsidP="00524454">
      <w:pPr>
        <w:keepNext/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overflowPunct w:val="0"/>
        <w:autoSpaceDE w:val="0"/>
        <w:autoSpaceDN w:val="0"/>
        <w:adjustRightInd w:val="0"/>
        <w:spacing w:before="240" w:after="60" w:line="36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Toc152490271"/>
      <w:r w:rsidRPr="00131A47">
        <w:rPr>
          <w:rFonts w:ascii="Times New Roman" w:eastAsia="Times New Roman" w:hAnsi="Times New Roman" w:cs="Times New Roman"/>
          <w:bCs/>
          <w:noProof/>
          <w:sz w:val="28"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716E02B7" wp14:editId="246B0F9B">
            <wp:simplePos x="0" y="0"/>
            <wp:positionH relativeFrom="column">
              <wp:posOffset>4800600</wp:posOffset>
            </wp:positionH>
            <wp:positionV relativeFrom="paragraph">
              <wp:posOffset>87630</wp:posOffset>
            </wp:positionV>
            <wp:extent cx="1257300" cy="10134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1A47">
        <w:rPr>
          <w:rFonts w:ascii="Times New Roman" w:eastAsia="Times New Roman" w:hAnsi="Times New Roman" w:cs="Times New Roman"/>
          <w:bCs/>
          <w:noProof/>
          <w:sz w:val="28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3A428127" wp14:editId="246198D3">
            <wp:simplePos x="0" y="0"/>
            <wp:positionH relativeFrom="column">
              <wp:posOffset>114300</wp:posOffset>
            </wp:positionH>
            <wp:positionV relativeFrom="paragraph">
              <wp:posOffset>120650</wp:posOffset>
            </wp:positionV>
            <wp:extent cx="1371600" cy="914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131A47"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Pr="00131A4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en-US"/>
        </w:rPr>
        <w:drawing>
          <wp:inline distT="0" distB="0" distL="0" distR="0" wp14:anchorId="4F30A075" wp14:editId="17887F20">
            <wp:extent cx="1648460" cy="66992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46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1A47"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</w:t>
      </w:r>
    </w:p>
    <w:p w14:paraId="62BCE029" w14:textId="77777777" w:rsidR="00524454" w:rsidRPr="00131A47" w:rsidRDefault="00524454" w:rsidP="00524454">
      <w:pPr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2F07212" w14:textId="77777777" w:rsidR="00524454" w:rsidRPr="00131A47" w:rsidRDefault="00524454" w:rsidP="00524454">
      <w:pPr>
        <w:spacing w:after="160" w:line="240" w:lineRule="auto"/>
        <w:ind w:left="7788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bg-BG"/>
        </w:rPr>
      </w:pPr>
    </w:p>
    <w:p w14:paraId="5D54C29A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bg-BG"/>
        </w:rPr>
      </w:pPr>
    </w:p>
    <w:p w14:paraId="17BA7248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66BEE096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43BACFAE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70BE2358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495EDEB4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УСЛОВИЯ ЗА ИЗПЪЛНЕНИЕ </w:t>
      </w:r>
    </w:p>
    <w:p w14:paraId="5792836B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2AC88C85" w14:textId="0D5B7122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НА БЮДЖЕТНИ ЛИНИИ ПО МЯРКА 20 „ТЕХНИЧЕСКА ПОМОЩ“ </w:t>
      </w:r>
      <w:r w:rsidR="001D69CE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ОТ </w:t>
      </w: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>ПРОГРАМА ЗА РАЗВИТИЕ НА СЕЛСКИТЕ РАЙОНИ ЗА ПЕРИОДА 2014-2020</w:t>
      </w:r>
      <w:r w:rsidR="001D69CE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 г.</w:t>
      </w:r>
      <w:r w:rsidR="007345FF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 (ПРСР 2014 – 2020 г.)</w:t>
      </w:r>
    </w:p>
    <w:p w14:paraId="6AC38C53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AEB4D54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0026F0C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586B0FFA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1E50C3E3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1B779BAE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569C2F3C" w14:textId="77777777" w:rsidR="00524454" w:rsidRPr="00654EA9" w:rsidRDefault="00524454" w:rsidP="00524454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654EA9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Европейският земеделски фонд за развитие на селските райони</w:t>
      </w:r>
    </w:p>
    <w:p w14:paraId="40CD0682" w14:textId="77777777" w:rsidR="00524454" w:rsidRPr="00654EA9" w:rsidRDefault="00524454" w:rsidP="00524454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654EA9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Европа инвестира в селските райони</w:t>
      </w:r>
    </w:p>
    <w:p w14:paraId="147F90C8" w14:textId="77777777" w:rsidR="00524454" w:rsidRPr="00654EA9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7CE1FD2D" w14:textId="77777777" w:rsidR="00524454" w:rsidRPr="00654EA9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04BAB437" w14:textId="77777777" w:rsidR="00524454" w:rsidRPr="00654EA9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09A0680B" w14:textId="77777777" w:rsidR="00524454" w:rsidRPr="00654EA9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9C41B1A" w14:textId="77777777" w:rsidR="00524454" w:rsidRPr="00654EA9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1" w:name="_Toc504657805"/>
      <w:r w:rsidRPr="00654EA9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t>А. Финансово изпълнение на проектите и плащане: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24454" w:rsidRPr="00654EA9" w14:paraId="132C0C5B" w14:textId="77777777" w:rsidTr="0011572A">
        <w:tc>
          <w:tcPr>
            <w:tcW w:w="9212" w:type="dxa"/>
            <w:shd w:val="clear" w:color="auto" w:fill="auto"/>
          </w:tcPr>
          <w:p w14:paraId="23509BA0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bookmarkStart w:id="2" w:name="_Toc256000087"/>
          </w:p>
          <w:p w14:paraId="666F012B" w14:textId="63B3268A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Финансовата помощ се изплаща от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Държавен фонд „Земеделие“ – Разплащателна агенция (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ДФЗ  РА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)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след извършване на цялата подпомагана дейност. Финансовата помощ може да се извършва и чрез междинни плащания за одобрена обособена част от подпомаганата дейност, след като бъде извършена и приета по съответния ред, когато естеството на дейността позволява и това е предвидено в договора за изпълнение и заявлението за кандидатстване. </w:t>
            </w:r>
          </w:p>
          <w:p w14:paraId="4B8CC9BA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Междинни плащания са допустими: </w:t>
            </w:r>
          </w:p>
          <w:p w14:paraId="7323CF1E" w14:textId="77777777" w:rsidR="00524454" w:rsidRPr="00654EA9" w:rsidRDefault="00524454" w:rsidP="0052445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до три пъти за периода на изпълнение на дейностите: </w:t>
            </w:r>
          </w:p>
          <w:p w14:paraId="3FCD96FA" w14:textId="6ADA5E70" w:rsidR="00524454" w:rsidRPr="00654EA9" w:rsidRDefault="00524454" w:rsidP="00AD1A98">
            <w:pPr>
              <w:pStyle w:val="ListParagraph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които се изпълняват по реда на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Закона за обществените поръчки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4D25D002" w14:textId="7C88B83E" w:rsidR="00524454" w:rsidRPr="00654EA9" w:rsidRDefault="00524454" w:rsidP="00AD1A98">
            <w:pPr>
              <w:pStyle w:val="ListParagraph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дейности, за които е необходимо използване на услуги на физически и/или юридически лица, се сключват договори за изпълнение на съответната услуга между Министерството на земеделието, храните и горите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(МЗХГ)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или ДФЗ  РА, и физическите/юридическите лица; преди сключването на договорите от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МЗХГ или ДФЗ - РА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 те се предоставят за съгласуване съгласно установения в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МЗХГ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или ДФЗ - РА, вътрешен ред; </w:t>
            </w:r>
          </w:p>
          <w:p w14:paraId="3EA9B8BD" w14:textId="77777777" w:rsidR="00524454" w:rsidRPr="00654EA9" w:rsidRDefault="00524454" w:rsidP="0052445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до 5 пъти за договори с период на изпълнение над една година; </w:t>
            </w:r>
          </w:p>
          <w:p w14:paraId="1021069A" w14:textId="77777777" w:rsidR="00524454" w:rsidRPr="00654EA9" w:rsidRDefault="00524454" w:rsidP="00524454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i/>
                <w:iCs/>
                <w:sz w:val="24"/>
                <w:lang w:val="bg-BG" w:eastAsia="bg-BG"/>
              </w:rPr>
              <w:t> 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ежемесечно за дейностите: </w:t>
            </w:r>
          </w:p>
          <w:p w14:paraId="5E06F08D" w14:textId="77777777" w:rsidR="00524454" w:rsidRPr="00654EA9" w:rsidRDefault="00524454" w:rsidP="00AD1A9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командироване в страната и/или в чужбина в областта на развитието на селските райони; </w:t>
            </w:r>
          </w:p>
          <w:p w14:paraId="4B472A50" w14:textId="72294641" w:rsidR="00524454" w:rsidRPr="00654EA9" w:rsidRDefault="00524454" w:rsidP="00AD1A9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основни месечни заплати, дължимите данъци, осигуровки, обезщетения и възнаграждения за платен отпуск на щатния персонал на ДФЗ - РА и МЗХГ, изпълняващи функции, пряко свързани с управлението (в т. ч. управлението на прилагането на ПРСР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2014 – 2020 г.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в Централно управление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(ЦУ)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на ДФЗ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- РА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), наблюдението, оценката и контрола на ПРСР 2014 - 2020 г.; </w:t>
            </w:r>
          </w:p>
          <w:p w14:paraId="042F17C8" w14:textId="77777777" w:rsidR="00524454" w:rsidRPr="00654EA9" w:rsidRDefault="00524454" w:rsidP="00AD1A9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участие в комисии за определяне на изпълнител на обществени поръчки за доставки или услуги, както и комисии за оценка и избор на проекти, се прилага създадената вътрешноведомствена организация в МЗХГ, съответно в ДФЗ – РА;</w:t>
            </w:r>
          </w:p>
          <w:p w14:paraId="1DB00988" w14:textId="40F1CD24" w:rsidR="00524454" w:rsidRPr="00654EA9" w:rsidRDefault="00524454" w:rsidP="00AD1A98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допълнително възнаграждение с непостоянен характер и дължимите осигуровки и данъци въз основа на постигнати резултати на щатния персонал на ДФЗ - РА и МЗХГ, изпълняващи функции, пряко свързани с управлението (в т.ч. управлението на прилагането на ПРСР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2014 – 2020 г.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в ЦУ на ДФЗ), наблюдението, оценката и контрола на ПРСР 2014 - 2020 г., се изплаща до четири пъти годишно при условията и по реда на вътрешните правила за заплатите в МЗХГ или ДФЗ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- РА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056A70E4" w14:textId="77777777" w:rsidR="00AD1A98" w:rsidRPr="00654EA9" w:rsidRDefault="00AD1A98" w:rsidP="00AD1A98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5F797D12" w14:textId="38542F48" w:rsidR="00524454" w:rsidRPr="00654EA9" w:rsidRDefault="00524454" w:rsidP="00AD1A9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разходите за възнаграждения, вкл. дължимите данъци, осигуровки, обезщетения и платен отпуск на допълнителен персонал, необходим с оглед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увеличаване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на капацитета на администрацията, ангажирана в управлението, изпълнението, контрола, наблюдението и оценката на ПРСР 2014 - 2020 г. към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Управляващия орган на ПРСР 2014 – 2020 г. (УО)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и ДФЗ - РА, се изплащат ежемесечно.</w:t>
            </w:r>
          </w:p>
          <w:p w14:paraId="52BFF5C0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2943BB44" w14:textId="10A6C23D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Плащания на разходи на бенефициентите по мярка 20 „Техническа помощ“ на ПРСР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2014 – 2020 г.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се извършват  от Дирекция „Финансова“ към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ДФЗ - РА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. </w:t>
            </w:r>
          </w:p>
          <w:p w14:paraId="2673E47D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trike/>
                <w:sz w:val="24"/>
                <w:lang w:val="bg-BG" w:eastAsia="en-GB"/>
              </w:rPr>
            </w:pPr>
          </w:p>
          <w:p w14:paraId="47115F82" w14:textId="1E5789B1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</w:pP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>В случай на дейности,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за които е предвидено да се изпълняват по реда на ЗОП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lastRenderedPageBreak/>
              <w:t xml:space="preserve">бенефициентът (УО на ПРСР/ДФ „Земеделие“) или упълномощено от него длъжностно лице, подава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искане за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междинно и/или окончателно плащане, ведно с  междинни и/или окончателни технически и финансови отчети и всички приложими документи съгласно Приложение 1, в срок 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не по-късно от </w:t>
            </w:r>
            <w:r w:rsidRPr="00654EA9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 xml:space="preserve">25 </w:t>
            </w:r>
            <w:r w:rsidRPr="00654EA9">
              <w:rPr>
                <w:rFonts w:ascii="TimesNewRomanUnicode" w:eastAsia="Times New Roman" w:hAnsi="TimesNewRomanUnicode" w:cs="TimesNewRomanUnicode"/>
                <w:b/>
                <w:sz w:val="24"/>
                <w:lang w:val="bg-BG" w:eastAsia="en-GB"/>
              </w:rPr>
              <w:t>работни дни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след датата на </w:t>
            </w:r>
            <w:r w:rsidR="00FF4815"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приемо-предавателния протокол за 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>одобрение на изпълнението на цялата дейност или на част от нея.</w:t>
            </w:r>
          </w:p>
          <w:p w14:paraId="0089DEBD" w14:textId="77777777" w:rsidR="004D343E" w:rsidRPr="00654EA9" w:rsidRDefault="004D343E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</w:pPr>
          </w:p>
          <w:p w14:paraId="4432AA56" w14:textId="17A15DDD" w:rsidR="00AD1A98" w:rsidRPr="00654EA9" w:rsidRDefault="00524454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Искането за плащане за дейности, за които не е предвидено да се изпълняват по реда на ЗОП, се подава от </w:t>
            </w:r>
            <w:r w:rsidRPr="00654EA9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>1-во до 15-о число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на съответния месец. </w:t>
            </w:r>
          </w:p>
          <w:p w14:paraId="249A966B" w14:textId="08641DA6" w:rsidR="0067002C" w:rsidRPr="00654EA9" w:rsidRDefault="0067002C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03D218AA" w14:textId="395D6E58" w:rsidR="0067002C" w:rsidRPr="00654EA9" w:rsidRDefault="0067002C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Извършените разходи по одобрената бюджетна линия се отчита</w:t>
            </w:r>
            <w:r w:rsidR="007C6E90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т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най-късно в срок от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: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6B023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18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месеца след приключване на съответната година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- 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при бюджетни линии</w:t>
            </w:r>
            <w:r w:rsidR="007047D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със срок за изпълнение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повече от една година и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ли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6B023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12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месеца 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след приключване на бюджетната линия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-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при бюджетни линии </w:t>
            </w:r>
            <w:r w:rsidR="007047D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със срок за изпълнение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една година</w:t>
            </w:r>
            <w:r w:rsidR="001D581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, но не по-късно от 10 ноември 2023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1D581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г.</w:t>
            </w:r>
          </w:p>
          <w:p w14:paraId="66BD8F7D" w14:textId="77777777" w:rsidR="00AD1A98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1136A972" w14:textId="1BB0E5ED" w:rsidR="00AD1A98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Разходите за дейностите по подточка 1.2., 3.1. и 3.</w:t>
            </w:r>
            <w:proofErr w:type="spellStart"/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3</w:t>
            </w:r>
            <w:proofErr w:type="spellEnd"/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., по които ползвател е УО, се изплащат от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МЗХГ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по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ред, </w:t>
            </w:r>
            <w:r w:rsidR="00507A08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утвърден</w:t>
            </w:r>
            <w:r w:rsidR="00131A47" w:rsidRPr="00654EA9">
              <w:rPr>
                <w:rFonts w:ascii="Times New Roman" w:eastAsia="Times New Roman" w:hAnsi="Times New Roman" w:cs="Times New Roman"/>
                <w:sz w:val="24"/>
                <w:lang w:val="en-US" w:eastAsia="en-GB"/>
              </w:rPr>
              <w:t xml:space="preserve">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със заповед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министъра на земеделието, храните и горите и след представяне и одобрение на отчет от съответното лице за извършената дейност, както и/или разходооправдателни документи.</w:t>
            </w:r>
          </w:p>
          <w:p w14:paraId="790F37A1" w14:textId="77777777" w:rsidR="00AD1A98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57D604B0" w14:textId="07533292" w:rsidR="00524454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Разходите за дейности по подточка 1.2., 3.1.</w:t>
            </w:r>
            <w:r w:rsidR="00507A08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3.</w:t>
            </w:r>
            <w:proofErr w:type="spellStart"/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3</w:t>
            </w:r>
            <w:proofErr w:type="spellEnd"/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., по които ползвател е ДФЗ- РА, се изплащат от ДФЗ- РА, по ред, одобрен от изпълнителния директор на ДФЗ- РА, и след представяне на отчет от съответното лице за извършената дейност, както и/или разходооправдателни документи.</w:t>
            </w:r>
          </w:p>
          <w:p w14:paraId="4EC29267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19775CB3" w14:textId="19E3319E" w:rsidR="003E6874" w:rsidRPr="00654EA9" w:rsidRDefault="00524454" w:rsidP="00654EA9">
            <w:pPr>
              <w:spacing w:line="240" w:lineRule="auto"/>
              <w:jc w:val="both"/>
              <w:textAlignment w:val="baseline"/>
              <w:rPr>
                <w:rFonts w:ascii="Calibri" w:eastAsia="Times New Roman" w:hAnsi="Calibri" w:cs="Times New Roman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По мярка 20 „Техническа помощ” се извършва re-performance,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представляващ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проверка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спазването на условията за предоставяне на помощта, включително сключването на договорите, съгласно Глава I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„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Разплащателни агенции и други органи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“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чл.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1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„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Условия за акредитиране на разплащателните агенции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“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от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Делегиран регламент (ЕС) № 907/2014 на Комисията от 11 март 2014 година за допълнение на Регламент (ЕС) № 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 L 255, 28.8.2014 г.)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Конкретните проверки свързани с re-performance са имплементирани в контролните листа приложими за мярката.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Проверката за съответствие с критериите за финансиране на заявки, съдържащи дейности, обект на обществена поръчка включва проверка на представената със заявката за плащане документация съгласно ЗОП в зависимост от вида на проведената обществена поръчка за избор на изпълнител за дейности. При заявки за плащане, съдържащи дейности обект на обществена поръчка, при извършване на проверката за съответствие с критериите за финансиране се извършва и проверка на процедурата за отпускане на помощи, както и тяхното съответствие с </w:t>
            </w:r>
            <w:r w:rsidR="00594C7E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приложимите актове на Европейския съюз</w:t>
            </w:r>
            <w:r w:rsidR="009F39FD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(ЕС)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. </w:t>
            </w:r>
            <w:bookmarkEnd w:id="2"/>
          </w:p>
        </w:tc>
      </w:tr>
      <w:tr w:rsidR="00524454" w:rsidRPr="00654EA9" w14:paraId="6582E570" w14:textId="77777777" w:rsidTr="0011572A">
        <w:tc>
          <w:tcPr>
            <w:tcW w:w="9212" w:type="dxa"/>
            <w:shd w:val="clear" w:color="auto" w:fill="auto"/>
          </w:tcPr>
          <w:p w14:paraId="7DBF63E8" w14:textId="77777777" w:rsidR="002C17A3" w:rsidRPr="00654EA9" w:rsidRDefault="002C17A3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50F77B71" w14:textId="7A028CAC" w:rsidR="002C17A3" w:rsidRPr="00654EA9" w:rsidRDefault="002C17A3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Ползвателите на помощта съхраняват копия на всички документи (където е приложимо в оригинал), за срок </w:t>
            </w:r>
            <w:r w:rsidR="00E07C60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от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пет години от датата на извършване на окончателното плащане на финансовата помощ по съответната бюджетна линия.</w:t>
            </w:r>
          </w:p>
          <w:p w14:paraId="4EDB9BCB" w14:textId="53DFCB73" w:rsidR="00676915" w:rsidRPr="00654EA9" w:rsidRDefault="00676915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Управляващият орган на ПРСР/ДФ „Земеделие“ на основание чл.47, ал.3 от ЗУСЕСИФ извършват </w:t>
            </w:r>
            <w:r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ежегодно актуализиране на финансовия план за всички одобрени бюджетни линии въз основа на извършена оценка на изпълнението или при настъпили обстоятелства, които водят до промяна на необходимия финансов ресурс, подкрепено с обосновка или доказателства за настъпилите обстоятелства.</w:t>
            </w:r>
          </w:p>
          <w:p w14:paraId="1BE2C3EC" w14:textId="2A7D883D" w:rsidR="002C17A3" w:rsidRPr="00654EA9" w:rsidRDefault="002C17A3" w:rsidP="0005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</w:tc>
      </w:tr>
    </w:tbl>
    <w:p w14:paraId="69A8D612" w14:textId="77777777" w:rsidR="00524454" w:rsidRPr="00654EA9" w:rsidRDefault="00524454" w:rsidP="00524454">
      <w:pPr>
        <w:keepNext/>
        <w:keepLines/>
        <w:spacing w:before="480"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3" w:name="_Toc504657806"/>
      <w:r w:rsidRPr="00654EA9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lastRenderedPageBreak/>
        <w:t>Б. Мерки за информиране и публичност: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24454" w:rsidRPr="00654EA9" w14:paraId="7AD28AC6" w14:textId="77777777" w:rsidTr="0011572A">
        <w:tc>
          <w:tcPr>
            <w:tcW w:w="9212" w:type="dxa"/>
            <w:shd w:val="clear" w:color="auto" w:fill="auto"/>
          </w:tcPr>
          <w:p w14:paraId="09A05D28" w14:textId="021A63EE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Публичността за дейностите, които не са обект на обществена поръчка, се осъществява, като ежегодно до 30 април УО публикува на електронната страница на ПРСР 2014 - 2020 г. следната информация за всеки одобрен проект по мярка "Техническа помощ" от ПРСР (2014 - 2020 г.) за предходната финансова година:</w:t>
            </w:r>
          </w:p>
          <w:p w14:paraId="68227C21" w14:textId="77777777" w:rsidR="00524454" w:rsidRPr="00654EA9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наименование на ползвателя на помощта;</w:t>
            </w:r>
          </w:p>
          <w:p w14:paraId="0E00EB76" w14:textId="77777777" w:rsidR="00524454" w:rsidRPr="00654EA9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вид на подпомаганите дейности и наименование на проекта;</w:t>
            </w:r>
          </w:p>
          <w:p w14:paraId="5455CFCE" w14:textId="77777777" w:rsidR="00524454" w:rsidRPr="00654EA9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общ размер на одобрената финансова помощ за периода;</w:t>
            </w:r>
          </w:p>
          <w:p w14:paraId="7B11E5AD" w14:textId="4978529D" w:rsidR="00524454" w:rsidRPr="00654EA9" w:rsidRDefault="00E07C60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препращане </w:t>
            </w:r>
            <w:r w:rsidR="00524454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към електронната страница, където е публикуван резултатът от дейността, когато това е възможно.</w:t>
            </w:r>
          </w:p>
          <w:p w14:paraId="78A527DD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72F7399A" w14:textId="280630DF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Публичността за дейностите, които са обект на обществена поръчка, се осъществява чрез прилагане на разпоредбите на </w:t>
            </w:r>
            <w:r w:rsidR="00E07C6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ЗОП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Вътрешните правила за поддържане на профила на купувача</w:t>
            </w:r>
            <w:r w:rsidR="00E07C6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, утвърдени със Заповед № РД 09-861 от 12.11.2015 г. на министъра на земеделието и храните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</w:t>
            </w:r>
          </w:p>
          <w:p w14:paraId="1169AD94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1E34B825" w14:textId="26E7264D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Публикациите-книжки, брошури, листовки, списания, вестници и други, и постерите за мерки и дейности, съфинансирани от </w:t>
            </w:r>
            <w:r w:rsidR="008D6F8F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Европейския земеделски фонд за развитие на селските райони (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ЕЗФРСР</w:t>
            </w:r>
            <w:r w:rsidR="008D6F8F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)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, съдържат на заглавната си страница ясна индикация за участието на </w:t>
            </w:r>
            <w:r w:rsidR="009F39FD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ЕС, както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неговата емблема. В публикациите се съдържа информация за органа, отговорен за съдържанието на информацията, както и за УО, отговорни за прилагане на помощта от ЕЗФРСР. Изискването се прилага и за информацията, разпространявана чрез електронни средства/медии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- уебсайтове, бази данни за потенциални участници или като аудио-визуален материал.</w:t>
            </w:r>
          </w:p>
          <w:p w14:paraId="678931D0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1548F89E" w14:textId="1B64EB58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Електронните страници, които съдържат информация за ПРСР 2014-2020 г./ЕЗФРСР, трябва да: </w:t>
            </w:r>
          </w:p>
          <w:p w14:paraId="2B768923" w14:textId="77777777" w:rsidR="00524454" w:rsidRPr="00654EA9" w:rsidRDefault="00524454" w:rsidP="00524454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информират за приноса на ЕЗФРСР най-малко на заглавната си страница;</w:t>
            </w:r>
          </w:p>
          <w:p w14:paraId="7D77BEFB" w14:textId="77777777" w:rsidR="00524454" w:rsidRPr="00654EA9" w:rsidRDefault="00524454" w:rsidP="00524454">
            <w:pPr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включват препратка към електронната страница на Европейската комисия, отнасяща се до ЕЗФРСР.</w:t>
            </w:r>
          </w:p>
          <w:p w14:paraId="23E8D364" w14:textId="77777777" w:rsidR="00654EA9" w:rsidRDefault="00654EA9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2A3C9421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Всяка дейност за информиране и публичност, информационна табела, билборд съдържа следните елементи:</w:t>
            </w:r>
          </w:p>
          <w:p w14:paraId="710B6C75" w14:textId="3657C0A0" w:rsidR="00524454" w:rsidRPr="00654EA9" w:rsidRDefault="00524454" w:rsidP="00C23D3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Емблемата на 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ЕС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заедно с упоменаване на 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ЕС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 съответствие с техническите характеристики, предвидени в Приложение  ІІІ към чл.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13 от Регламент за изпълнение (ЕС) № 808/2014 на Комисията от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17 юли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2014 г.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 (ОВ,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L 227от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31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.7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2014 г.)и съгласно Приложение № XII от Регламент (ЕС) № 1303/2013 г. на Европейския парламент и на Съвета от 17 декември 2013 г.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 и за отмяна на Регламент (ЕО) № 1083/2006 г. на Съвета (ОВ L 347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20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.12.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2013 г.)</w:t>
            </w:r>
            <w:r w:rsidR="00192D08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(Регламент (ЕС) № 1303/2013 г.)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 като се използват следните думи: "Европейски земеделски фонд за развитие на селските райони: Европа инвестира в селските райони";</w:t>
            </w:r>
          </w:p>
          <w:p w14:paraId="4270C215" w14:textId="360256CE" w:rsidR="00524454" w:rsidRPr="00654EA9" w:rsidRDefault="00524454" w:rsidP="00654EA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За дейностите и мерките, финансирани по подхода ЛИДЕР от ПРСР 2014 - 2020 г., се използва също и логото на ЛИДЕР.</w:t>
            </w:r>
          </w:p>
        </w:tc>
      </w:tr>
    </w:tbl>
    <w:p w14:paraId="7A22C463" w14:textId="77777777" w:rsidR="00524454" w:rsidRPr="00654EA9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4" w:name="_Toc504657807"/>
      <w:r w:rsidRPr="00654EA9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lastRenderedPageBreak/>
        <w:t>В. Приложения към Условията за изпълнение: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24454" w:rsidRPr="00131A47" w14:paraId="2731BDF4" w14:textId="77777777" w:rsidTr="0011572A">
        <w:tc>
          <w:tcPr>
            <w:tcW w:w="9212" w:type="dxa"/>
            <w:shd w:val="clear" w:color="auto" w:fill="auto"/>
          </w:tcPr>
          <w:p w14:paraId="22D510EA" w14:textId="4964682B" w:rsidR="00524454" w:rsidRPr="00654EA9" w:rsidRDefault="00524454" w:rsidP="00524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val="bg-BG" w:eastAsia="bg-BG"/>
              </w:rPr>
            </w:pPr>
          </w:p>
          <w:p w14:paraId="62F699BA" w14:textId="0ABB1A5C" w:rsidR="00524454" w:rsidRPr="00654EA9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1 Документи за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междинно и окончателно плащане;</w:t>
            </w:r>
          </w:p>
          <w:p w14:paraId="1FDC7CB1" w14:textId="46EEF724" w:rsidR="00591A3C" w:rsidRPr="00654EA9" w:rsidRDefault="00591A3C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1а Документи за меж</w:t>
            </w:r>
            <w:r w:rsidR="00131A47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динн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о и окончателно плащане в случай, че не са представени разходооправдателни документи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;</w:t>
            </w:r>
          </w:p>
          <w:p w14:paraId="70D3A294" w14:textId="7DD80C65" w:rsidR="00524454" w:rsidRPr="00654EA9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</w:t>
            </w:r>
            <w:r w:rsidR="004370E3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2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Дек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ларация за възстановени разходи;</w:t>
            </w:r>
          </w:p>
          <w:p w14:paraId="0210F038" w14:textId="03AEAD92" w:rsidR="00524454" w:rsidRPr="00654EA9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</w:t>
            </w:r>
            <w:r w:rsidR="004370E3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3</w:t>
            </w:r>
            <w:r w:rsidRPr="00654EA9">
              <w:rPr>
                <w:rFonts w:ascii="Calibri" w:eastAsia="Times New Roman" w:hAnsi="Calibri" w:cs="Times New Roman"/>
                <w:lang w:val="bg-BG" w:eastAsia="bg-BG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Декларация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за размера на възнагражденията;</w:t>
            </w:r>
          </w:p>
          <w:p w14:paraId="07F78CFE" w14:textId="08181E41" w:rsidR="008234BB" w:rsidRPr="00654EA9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4 Декларация за нередности;</w:t>
            </w:r>
          </w:p>
          <w:p w14:paraId="3EE89915" w14:textId="253FF8F7" w:rsidR="008234BB" w:rsidRPr="00654EA9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5 Декларация за </w:t>
            </w:r>
            <w:r w:rsidR="00D517B5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липса на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конфликт на интереси;</w:t>
            </w:r>
          </w:p>
          <w:p w14:paraId="58A84D06" w14:textId="2F8C58A2" w:rsidR="008234BB" w:rsidRPr="00654EA9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6 Заповед за </w:t>
            </w:r>
            <w:r w:rsidR="00D517B5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предоставяне на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безвъзмездна финансова помощ;</w:t>
            </w:r>
          </w:p>
          <w:p w14:paraId="48971172" w14:textId="070E210A" w:rsidR="00970BC7" w:rsidRPr="00654EA9" w:rsidRDefault="008234BB" w:rsidP="00970BC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7 Административен договор за предоставяне </w:t>
            </w:r>
            <w:r w:rsidR="00D517B5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на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безвъзмездна финансова помощ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;</w:t>
            </w:r>
            <w:bookmarkStart w:id="5" w:name="_GoBack"/>
            <w:bookmarkEnd w:id="5"/>
          </w:p>
          <w:p w14:paraId="3D26BA12" w14:textId="511FBF87" w:rsidR="00676915" w:rsidRPr="00654EA9" w:rsidRDefault="00676915" w:rsidP="00970BC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Декларация относно наличието/липсата на обстоятелства по чл. 25, ал. 2 от ЗУСЕСИФ - попълнена по образец (Приложение 5а към УК) – само при промяна на декларираните обстоятелства.</w:t>
            </w:r>
          </w:p>
          <w:p w14:paraId="5EDC4FE9" w14:textId="77777777" w:rsidR="00524454" w:rsidRPr="00131A47" w:rsidRDefault="00524454" w:rsidP="00524454">
            <w:pPr>
              <w:spacing w:after="0" w:line="240" w:lineRule="auto"/>
              <w:ind w:left="360"/>
              <w:jc w:val="both"/>
              <w:rPr>
                <w:rFonts w:ascii="Calibri" w:eastAsia="Times New Roman" w:hAnsi="Calibri" w:cs="Times New Roman"/>
                <w:lang w:val="bg-BG" w:eastAsia="bg-BG"/>
              </w:rPr>
            </w:pPr>
          </w:p>
          <w:p w14:paraId="44F286FF" w14:textId="77777777" w:rsidR="00524454" w:rsidRPr="00131A47" w:rsidRDefault="00524454" w:rsidP="00524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</w:tc>
      </w:tr>
    </w:tbl>
    <w:p w14:paraId="3A5100E6" w14:textId="77777777" w:rsidR="00524454" w:rsidRPr="00131A47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509C476D" w14:textId="77777777" w:rsidR="00524454" w:rsidRPr="00131A47" w:rsidRDefault="00524454" w:rsidP="00524454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bg-BG" w:eastAsia="en-GB"/>
        </w:rPr>
      </w:pPr>
    </w:p>
    <w:p w14:paraId="166D1291" w14:textId="77777777" w:rsidR="00610645" w:rsidRPr="00131A47" w:rsidRDefault="00610645">
      <w:pPr>
        <w:rPr>
          <w:lang w:val="bg-BG"/>
        </w:rPr>
      </w:pPr>
    </w:p>
    <w:sectPr w:rsidR="00610645" w:rsidRPr="00131A47" w:rsidSect="008E2A6B">
      <w:footerReference w:type="even" r:id="rId12"/>
      <w:footerReference w:type="default" r:id="rId13"/>
      <w:pgSz w:w="11906" w:h="16838"/>
      <w:pgMar w:top="900" w:right="1417" w:bottom="90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9DBA4F" w14:textId="77777777" w:rsidR="002F5DC1" w:rsidRDefault="002F5DC1">
      <w:pPr>
        <w:spacing w:after="0" w:line="240" w:lineRule="auto"/>
      </w:pPr>
      <w:r>
        <w:separator/>
      </w:r>
    </w:p>
  </w:endnote>
  <w:endnote w:type="continuationSeparator" w:id="0">
    <w:p w14:paraId="33B2CAAD" w14:textId="77777777" w:rsidR="002F5DC1" w:rsidRDefault="002F5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Unicode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0CCA6" w14:textId="77777777" w:rsidR="003C2612" w:rsidRDefault="00524454" w:rsidP="003012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77BF12" w14:textId="77777777" w:rsidR="003C2612" w:rsidRDefault="002F5DC1" w:rsidP="0030120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89A9A" w14:textId="042C2E32" w:rsidR="003C2612" w:rsidRDefault="00524454" w:rsidP="00CF38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7005">
      <w:rPr>
        <w:rStyle w:val="PageNumber"/>
        <w:noProof/>
      </w:rPr>
      <w:t>5</w:t>
    </w:r>
    <w:r>
      <w:rPr>
        <w:rStyle w:val="PageNumber"/>
      </w:rPr>
      <w:fldChar w:fldCharType="end"/>
    </w:r>
  </w:p>
  <w:p w14:paraId="2A7FD3DF" w14:textId="77777777" w:rsidR="003C2612" w:rsidRPr="00E57BFA" w:rsidRDefault="002F5DC1" w:rsidP="0030120B">
    <w:pPr>
      <w:pStyle w:val="Footer"/>
      <w:framePr w:wrap="around" w:vAnchor="text" w:hAnchor="margin" w:y="1"/>
      <w:ind w:right="360"/>
      <w:rPr>
        <w:rStyle w:val="PageNumber"/>
        <w:rFonts w:ascii="Times New Roman" w:hAnsi="Times New Roman"/>
        <w:sz w:val="24"/>
        <w:szCs w:val="24"/>
      </w:rPr>
    </w:pPr>
  </w:p>
  <w:p w14:paraId="04EFE842" w14:textId="77777777" w:rsidR="003C2612" w:rsidRPr="0030120B" w:rsidRDefault="00524454" w:rsidP="0030120B">
    <w:pPr>
      <w:pStyle w:val="Footer"/>
      <w:framePr w:wrap="around" w:vAnchor="text" w:hAnchor="margin" w:y="1"/>
      <w:ind w:right="360"/>
      <w:rPr>
        <w:rStyle w:val="PageNumber"/>
        <w:rFonts w:ascii="Times New Roman" w:hAnsi="Times New Roman"/>
        <w:sz w:val="20"/>
        <w:lang w:val="en-US"/>
      </w:rPr>
    </w:pP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</w:p>
  <w:p w14:paraId="02ADE214" w14:textId="77777777" w:rsidR="003C2612" w:rsidRPr="0030120B" w:rsidRDefault="00524454" w:rsidP="0030120B">
    <w:pPr>
      <w:pStyle w:val="Footer"/>
      <w:ind w:right="360" w:firstLine="360"/>
      <w:jc w:val="right"/>
      <w:rPr>
        <w:rFonts w:ascii="Times New Roman" w:hAnsi="Times New Roman"/>
        <w:sz w:val="24"/>
        <w:szCs w:val="24"/>
        <w:lang w:val="en-US"/>
      </w:rPr>
    </w:pPr>
    <w:r>
      <w:rPr>
        <w:rFonts w:ascii="Times New Roman" w:hAnsi="Times New Roman"/>
        <w:sz w:val="24"/>
        <w:szCs w:val="24"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CF8D0" w14:textId="77777777" w:rsidR="002F5DC1" w:rsidRDefault="002F5DC1">
      <w:pPr>
        <w:spacing w:after="0" w:line="240" w:lineRule="auto"/>
      </w:pPr>
      <w:r>
        <w:separator/>
      </w:r>
    </w:p>
  </w:footnote>
  <w:footnote w:type="continuationSeparator" w:id="0">
    <w:p w14:paraId="10051B18" w14:textId="77777777" w:rsidR="002F5DC1" w:rsidRDefault="002F5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537F1"/>
    <w:multiLevelType w:val="multilevel"/>
    <w:tmpl w:val="8AF8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6D40975"/>
    <w:multiLevelType w:val="multilevel"/>
    <w:tmpl w:val="F3C2F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hint="default"/>
      </w:rPr>
    </w:lvl>
  </w:abstractNum>
  <w:abstractNum w:abstractNumId="2">
    <w:nsid w:val="18EF3B6C"/>
    <w:multiLevelType w:val="multilevel"/>
    <w:tmpl w:val="029A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63F6AE9"/>
    <w:multiLevelType w:val="multilevel"/>
    <w:tmpl w:val="5A7EE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0CC2F78"/>
    <w:multiLevelType w:val="multilevel"/>
    <w:tmpl w:val="736448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24E14"/>
    <w:multiLevelType w:val="hybridMultilevel"/>
    <w:tmpl w:val="E878D584"/>
    <w:lvl w:ilvl="0" w:tplc="0402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7">
    <w:nsid w:val="79E63776"/>
    <w:multiLevelType w:val="multilevel"/>
    <w:tmpl w:val="029A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7F604E55"/>
    <w:multiLevelType w:val="hybridMultilevel"/>
    <w:tmpl w:val="D6F64E14"/>
    <w:lvl w:ilvl="0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  <w15:person w15:author="Donka Yordanova">
    <w15:presenceInfo w15:providerId="AD" w15:userId="S-1-5-21-3673932534-3318588094-701912851-36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ED"/>
    <w:rsid w:val="000465AE"/>
    <w:rsid w:val="00057BDA"/>
    <w:rsid w:val="00076E13"/>
    <w:rsid w:val="000D0CD8"/>
    <w:rsid w:val="00131A47"/>
    <w:rsid w:val="00185A5E"/>
    <w:rsid w:val="00192D08"/>
    <w:rsid w:val="001A3194"/>
    <w:rsid w:val="001A5318"/>
    <w:rsid w:val="001B0C59"/>
    <w:rsid w:val="001D581A"/>
    <w:rsid w:val="001D69CE"/>
    <w:rsid w:val="001F66E1"/>
    <w:rsid w:val="0020285E"/>
    <w:rsid w:val="00222819"/>
    <w:rsid w:val="002C17A3"/>
    <w:rsid w:val="002F5DC1"/>
    <w:rsid w:val="003476FB"/>
    <w:rsid w:val="00371243"/>
    <w:rsid w:val="00373F96"/>
    <w:rsid w:val="003938D0"/>
    <w:rsid w:val="003D188C"/>
    <w:rsid w:val="003E6874"/>
    <w:rsid w:val="004010CF"/>
    <w:rsid w:val="00433FF1"/>
    <w:rsid w:val="004370E3"/>
    <w:rsid w:val="004632C4"/>
    <w:rsid w:val="004702C9"/>
    <w:rsid w:val="004A6274"/>
    <w:rsid w:val="004D343E"/>
    <w:rsid w:val="00507A08"/>
    <w:rsid w:val="00524454"/>
    <w:rsid w:val="00591A3C"/>
    <w:rsid w:val="00594C7E"/>
    <w:rsid w:val="005F422B"/>
    <w:rsid w:val="00610645"/>
    <w:rsid w:val="00627005"/>
    <w:rsid w:val="006523ED"/>
    <w:rsid w:val="00653AD2"/>
    <w:rsid w:val="00654EA9"/>
    <w:rsid w:val="0067002C"/>
    <w:rsid w:val="00676915"/>
    <w:rsid w:val="006B023B"/>
    <w:rsid w:val="006D79F1"/>
    <w:rsid w:val="007047DA"/>
    <w:rsid w:val="007345FF"/>
    <w:rsid w:val="007427FE"/>
    <w:rsid w:val="00781AAA"/>
    <w:rsid w:val="00791BC8"/>
    <w:rsid w:val="007B14D6"/>
    <w:rsid w:val="007C096C"/>
    <w:rsid w:val="007C6E90"/>
    <w:rsid w:val="007F50D8"/>
    <w:rsid w:val="008234BB"/>
    <w:rsid w:val="008932AA"/>
    <w:rsid w:val="008D02F6"/>
    <w:rsid w:val="008D6F8F"/>
    <w:rsid w:val="00970BC7"/>
    <w:rsid w:val="009D4741"/>
    <w:rsid w:val="009F39FD"/>
    <w:rsid w:val="00A24488"/>
    <w:rsid w:val="00A62840"/>
    <w:rsid w:val="00AB2B6F"/>
    <w:rsid w:val="00AD1A98"/>
    <w:rsid w:val="00B04D64"/>
    <w:rsid w:val="00C23D30"/>
    <w:rsid w:val="00C35EA8"/>
    <w:rsid w:val="00C83124"/>
    <w:rsid w:val="00C95111"/>
    <w:rsid w:val="00D22794"/>
    <w:rsid w:val="00D517B5"/>
    <w:rsid w:val="00D772FB"/>
    <w:rsid w:val="00D77CD5"/>
    <w:rsid w:val="00D93BA6"/>
    <w:rsid w:val="00E02DAA"/>
    <w:rsid w:val="00E07C60"/>
    <w:rsid w:val="00E93551"/>
    <w:rsid w:val="00EC3C72"/>
    <w:rsid w:val="00F60E29"/>
    <w:rsid w:val="00F65895"/>
    <w:rsid w:val="00F82276"/>
    <w:rsid w:val="00F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3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24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454"/>
  </w:style>
  <w:style w:type="character" w:styleId="PageNumber">
    <w:name w:val="page number"/>
    <w:basedOn w:val="DefaultParagraphFont"/>
    <w:rsid w:val="00524454"/>
  </w:style>
  <w:style w:type="paragraph" w:styleId="BalloonText">
    <w:name w:val="Balloon Text"/>
    <w:basedOn w:val="Normal"/>
    <w:link w:val="BalloonTextChar"/>
    <w:uiPriority w:val="99"/>
    <w:semiHidden/>
    <w:unhideWhenUsed/>
    <w:rsid w:val="0052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A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4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7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7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74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D79F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23D30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24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454"/>
  </w:style>
  <w:style w:type="character" w:styleId="PageNumber">
    <w:name w:val="page number"/>
    <w:basedOn w:val="DefaultParagraphFont"/>
    <w:rsid w:val="00524454"/>
  </w:style>
  <w:style w:type="paragraph" w:styleId="BalloonText">
    <w:name w:val="Balloon Text"/>
    <w:basedOn w:val="Normal"/>
    <w:link w:val="BalloonTextChar"/>
    <w:uiPriority w:val="99"/>
    <w:semiHidden/>
    <w:unhideWhenUsed/>
    <w:rsid w:val="0052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A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4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7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7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74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D79F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23D30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4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916CE-8D74-48FB-8592-888F13597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1560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P. Petrova</dc:creator>
  <cp:lastModifiedBy>Tatyana P. Petrova</cp:lastModifiedBy>
  <cp:revision>12</cp:revision>
  <dcterms:created xsi:type="dcterms:W3CDTF">2018-02-12T13:53:00Z</dcterms:created>
  <dcterms:modified xsi:type="dcterms:W3CDTF">2022-04-20T10:01:00Z</dcterms:modified>
</cp:coreProperties>
</file>